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72BB7" w14:textId="321C5AF6" w:rsidR="00816C9D" w:rsidRPr="003C05A2" w:rsidRDefault="006E45D9" w:rsidP="00816C9D">
      <w:pPr>
        <w:tabs>
          <w:tab w:val="left" w:pos="1985"/>
          <w:tab w:val="left" w:pos="7920"/>
        </w:tabs>
        <w:spacing w:after="0"/>
        <w:jc w:val="both"/>
        <w:rPr>
          <w:rFonts w:ascii="Arial" w:hAnsi="Arial" w:cs="Arial"/>
          <w:b/>
          <w:sz w:val="24"/>
          <w:lang w:val="es-ES"/>
        </w:rPr>
      </w:pPr>
      <w:bookmarkStart w:id="0" w:name="_Hlk6897498"/>
      <w:bookmarkStart w:id="1" w:name="_Hlk3548187"/>
      <w:bookmarkStart w:id="2" w:name="_Toc508617208"/>
      <w:r w:rsidRPr="003C05A2">
        <w:rPr>
          <w:rFonts w:ascii="Arial" w:hAnsi="Arial" w:cs="Arial"/>
          <w:b/>
          <w:sz w:val="24"/>
          <w:lang w:val="es-ES"/>
        </w:rPr>
        <w:t xml:space="preserve">3GPP TSG-RAN </w:t>
      </w:r>
      <w:r w:rsidR="00466E59" w:rsidRPr="003C05A2">
        <w:rPr>
          <w:rFonts w:ascii="Arial" w:hAnsi="Arial" w:cs="Arial"/>
          <w:b/>
          <w:sz w:val="24"/>
          <w:lang w:val="es-ES"/>
        </w:rPr>
        <w:t>WG</w:t>
      </w:r>
      <w:r w:rsidR="00C46CE1" w:rsidRPr="003C05A2">
        <w:rPr>
          <w:rFonts w:ascii="Arial" w:hAnsi="Arial" w:cs="Arial"/>
          <w:b/>
          <w:sz w:val="24"/>
          <w:lang w:val="es-ES"/>
        </w:rPr>
        <w:t>5</w:t>
      </w:r>
      <w:r w:rsidR="00466E59" w:rsidRPr="003C05A2">
        <w:rPr>
          <w:rFonts w:ascii="Arial" w:hAnsi="Arial" w:cs="Arial"/>
          <w:b/>
          <w:sz w:val="24"/>
          <w:lang w:val="es-ES"/>
        </w:rPr>
        <w:t xml:space="preserve"> #</w:t>
      </w:r>
      <w:r w:rsidR="00C46CE1" w:rsidRPr="003C05A2">
        <w:rPr>
          <w:rFonts w:ascii="Arial" w:hAnsi="Arial" w:cs="Arial"/>
          <w:b/>
          <w:sz w:val="24"/>
          <w:lang w:val="es-ES"/>
        </w:rPr>
        <w:t>8</w:t>
      </w:r>
      <w:r w:rsidR="00616600" w:rsidRPr="003C05A2">
        <w:rPr>
          <w:rFonts w:ascii="Arial" w:hAnsi="Arial" w:cs="Arial"/>
          <w:b/>
          <w:sz w:val="24"/>
          <w:lang w:val="es-ES"/>
        </w:rPr>
        <w:t>5</w:t>
      </w:r>
      <w:r w:rsidR="00AE116C" w:rsidRPr="003C05A2">
        <w:rPr>
          <w:rFonts w:ascii="Arial" w:hAnsi="Arial" w:cs="Arial"/>
          <w:b/>
          <w:sz w:val="24"/>
          <w:lang w:val="es-ES"/>
        </w:rPr>
        <w:tab/>
      </w:r>
      <w:r w:rsidR="00AE116C" w:rsidRPr="003C05A2">
        <w:rPr>
          <w:rFonts w:ascii="Arial" w:hAnsi="Arial" w:cs="Arial"/>
          <w:b/>
          <w:sz w:val="24"/>
          <w:lang w:val="es-ES"/>
        </w:rPr>
        <w:tab/>
      </w:r>
      <w:r w:rsidR="004A6D88" w:rsidRPr="003C05A2">
        <w:rPr>
          <w:rFonts w:ascii="Arial" w:hAnsi="Arial" w:cs="Arial"/>
          <w:b/>
          <w:sz w:val="24"/>
          <w:lang w:val="es-ES"/>
        </w:rPr>
        <w:t>R5-19</w:t>
      </w:r>
      <w:r w:rsidR="003C05A2">
        <w:rPr>
          <w:rFonts w:ascii="Arial" w:hAnsi="Arial" w:cs="Arial"/>
          <w:b/>
          <w:sz w:val="24"/>
          <w:lang w:val="es-ES"/>
        </w:rPr>
        <w:t>8222</w:t>
      </w:r>
      <w:r w:rsidR="00AE116C" w:rsidRPr="003C05A2">
        <w:rPr>
          <w:rFonts w:ascii="Arial" w:hAnsi="Arial" w:cs="Arial"/>
          <w:b/>
          <w:sz w:val="24"/>
          <w:lang w:val="es-ES"/>
        </w:rPr>
        <w:br/>
      </w:r>
      <w:r w:rsidR="00DF01A8" w:rsidRPr="003C05A2">
        <w:rPr>
          <w:rFonts w:ascii="Arial" w:hAnsi="Arial" w:cs="Arial"/>
          <w:b/>
          <w:sz w:val="24"/>
          <w:lang w:val="es-ES"/>
        </w:rPr>
        <w:t>Reno, Nevada, USA, 18 - 22 Nov 2019</w:t>
      </w:r>
    </w:p>
    <w:bookmarkEnd w:id="0"/>
    <w:p w14:paraId="47B72BB8" w14:textId="77777777" w:rsidR="00816C9D" w:rsidRPr="003C05A2" w:rsidRDefault="00816C9D" w:rsidP="00816C9D">
      <w:pPr>
        <w:rPr>
          <w:rFonts w:ascii="Arial" w:hAnsi="Arial" w:cs="Arial"/>
          <w:b/>
          <w:sz w:val="24"/>
          <w:szCs w:val="24"/>
          <w:lang w:val="es-ES"/>
        </w:rPr>
      </w:pPr>
    </w:p>
    <w:p w14:paraId="47B72BB9" w14:textId="5FC64F8F"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A6D88" w:rsidRPr="004A6D88">
        <w:rPr>
          <w:rFonts w:ascii="Arial" w:hAnsi="Arial" w:cs="Arial"/>
          <w:sz w:val="24"/>
          <w:szCs w:val="24"/>
        </w:rPr>
        <w:t>5.3.5.17</w:t>
      </w:r>
    </w:p>
    <w:p w14:paraId="47B72BBA" w14:textId="4F41496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616600">
        <w:rPr>
          <w:rFonts w:ascii="Arial" w:hAnsi="Arial" w:cs="Arial"/>
          <w:sz w:val="24"/>
          <w:szCs w:val="24"/>
        </w:rPr>
        <w:t>Rohde &amp; Schwarz</w:t>
      </w:r>
    </w:p>
    <w:p w14:paraId="47B72BBB" w14:textId="2A157DC2"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616600">
        <w:rPr>
          <w:rFonts w:ascii="Arial" w:hAnsi="Arial" w:cs="Arial"/>
          <w:sz w:val="24"/>
          <w:szCs w:val="24"/>
        </w:rPr>
        <w:t>On beam peak search results re-use for RRM</w:t>
      </w:r>
      <w:bookmarkEnd w:id="3"/>
    </w:p>
    <w:p w14:paraId="47B72BBC" w14:textId="2E8A516B"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07068C" w:rsidRPr="0007068C">
        <w:rPr>
          <w:rFonts w:ascii="Arial" w:hAnsi="Arial" w:cs="Arial"/>
          <w:sz w:val="24"/>
          <w:szCs w:val="24"/>
        </w:rPr>
        <w:t>Discussion and Endorsement</w:t>
      </w:r>
    </w:p>
    <w:bookmarkEnd w:id="1"/>
    <w:p w14:paraId="47B72BBD" w14:textId="77777777" w:rsidR="00816C9D" w:rsidRDefault="00816C9D" w:rsidP="001E1CF6">
      <w:pPr>
        <w:pStyle w:val="Heading1"/>
        <w:ind w:left="567" w:hanging="567"/>
      </w:pPr>
      <w:r w:rsidRPr="00647B25">
        <w:t>Introduction</w:t>
      </w:r>
    </w:p>
    <w:p w14:paraId="47B72BBE" w14:textId="5AA6EA89" w:rsidR="000606FD" w:rsidRDefault="00616600" w:rsidP="000606FD">
      <w:pPr>
        <w:ind w:left="48"/>
        <w:rPr>
          <w:rFonts w:eastAsia="Batang"/>
        </w:rPr>
      </w:pPr>
      <w:r>
        <w:rPr>
          <w:rFonts w:eastAsia="Batang"/>
        </w:rPr>
        <w:t>In [1], Proposal 1 talked about allowing the re-use of the beam peak search result between different conformance test systems. Proposal 1 was not endorsed as the group said there was not enough information about what the re-use exactly meant and technical evidence to support. This paper tries to define the re-use of beam peak search result more explicitly</w:t>
      </w:r>
      <w:r w:rsidR="00EE7BCE">
        <w:rPr>
          <w:rFonts w:eastAsia="Batang"/>
        </w:rPr>
        <w:t xml:space="preserve"> and also to give a series of guidelines when it can be re-used.</w:t>
      </w:r>
    </w:p>
    <w:p w14:paraId="47B72BBF" w14:textId="6557A1E7" w:rsidR="0053435C" w:rsidRDefault="00AF0F4C" w:rsidP="0053435C">
      <w:pPr>
        <w:pStyle w:val="Heading1"/>
        <w:ind w:left="567" w:hanging="567"/>
      </w:pPr>
      <w:r>
        <w:t>Discussion</w:t>
      </w:r>
    </w:p>
    <w:p w14:paraId="6DEB0FCE" w14:textId="599D19AF" w:rsidR="00EE7BCE" w:rsidRDefault="00EE7BCE" w:rsidP="00EE7BCE">
      <w:r>
        <w:t xml:space="preserve">The </w:t>
      </w:r>
      <w:r w:rsidR="00C55879">
        <w:t xml:space="preserve">exact wording of Proposal 1 in </w:t>
      </w:r>
      <w:r>
        <w:t xml:space="preserve">[1] was as follows: </w:t>
      </w:r>
    </w:p>
    <w:p w14:paraId="3747B560" w14:textId="085D6A1B" w:rsidR="00EE7BCE" w:rsidRDefault="00EE7BCE" w:rsidP="00EE7BCE">
      <w:pPr>
        <w:rPr>
          <w:i/>
        </w:rPr>
      </w:pPr>
      <w:r w:rsidRPr="00EE7BCE">
        <w:rPr>
          <w:i/>
        </w:rPr>
        <w:t xml:space="preserve">Allow the beam peak search result from another UE RF conformance test system to be re-used </w:t>
      </w:r>
      <w:r w:rsidRPr="00EE7BCE">
        <w:rPr>
          <w:i/>
          <w:highlight w:val="yellow"/>
        </w:rPr>
        <w:t>when the same test conditions</w:t>
      </w:r>
      <w:r w:rsidRPr="00EE7BCE">
        <w:rPr>
          <w:i/>
        </w:rPr>
        <w:t xml:space="preserve"> while making sure that the EIS result in the provided RX Beam Peak direction measured in the UE RF system matches that measured in the RRM system with a TBD tolerance</w:t>
      </w:r>
    </w:p>
    <w:p w14:paraId="37412049" w14:textId="3B47FDAD" w:rsidR="00C55879" w:rsidRDefault="00EE7BCE" w:rsidP="00EE7BCE">
      <w:r>
        <w:t xml:space="preserve">The first open question is what </w:t>
      </w:r>
      <w:r w:rsidR="00142A64">
        <w:t>the “same test conditions” means</w:t>
      </w:r>
      <w:r>
        <w:t xml:space="preserve">. In this paper, for clarification, we are talking about re-using the </w:t>
      </w:r>
      <w:r w:rsidR="00233482">
        <w:t xml:space="preserve">RX </w:t>
      </w:r>
      <w:r>
        <w:t>beam peak search results for the same DUT when</w:t>
      </w:r>
      <w:r w:rsidR="00C55879">
        <w:t>:</w:t>
      </w:r>
    </w:p>
    <w:p w14:paraId="2284DA03" w14:textId="77BDAF7E" w:rsidR="00C55879" w:rsidRDefault="00EE7BCE" w:rsidP="00C55879">
      <w:pPr>
        <w:numPr>
          <w:ilvl w:val="0"/>
          <w:numId w:val="39"/>
        </w:numPr>
      </w:pPr>
      <w:r>
        <w:t>testing at the same test frequency</w:t>
      </w:r>
      <w:r w:rsidR="005A6ABC">
        <w:t xml:space="preserve"> range</w:t>
      </w:r>
      <w:r>
        <w:t xml:space="preserve">, </w:t>
      </w:r>
      <w:r w:rsidR="00C55879">
        <w:t xml:space="preserve">e.g. cannot re-use the results at </w:t>
      </w:r>
      <w:r w:rsidR="005A6ABC">
        <w:t>FR2a for FR2b.</w:t>
      </w:r>
    </w:p>
    <w:p w14:paraId="1491D043" w14:textId="7CE3C666" w:rsidR="00C55879" w:rsidRDefault="00EE7BCE" w:rsidP="00C55879">
      <w:pPr>
        <w:numPr>
          <w:ilvl w:val="0"/>
          <w:numId w:val="39"/>
        </w:numPr>
      </w:pPr>
      <w:r>
        <w:t>the</w:t>
      </w:r>
      <w:r w:rsidR="00C55879">
        <w:t xml:space="preserve"> same environmental conditions </w:t>
      </w:r>
      <w:r w:rsidR="00233482">
        <w:t xml:space="preserve">e.g. cannot re-use the </w:t>
      </w:r>
      <w:r>
        <w:t>beam peak search results obtain</w:t>
      </w:r>
      <w:r w:rsidR="005A6ABC">
        <w:t>ed</w:t>
      </w:r>
      <w:r>
        <w:t xml:space="preserve"> with normal temperature for extreme temperature conditions</w:t>
      </w:r>
    </w:p>
    <w:p w14:paraId="02BC42C9" w14:textId="26BD7D31" w:rsidR="00EE7BCE" w:rsidRDefault="00EE7BCE" w:rsidP="00C55879">
      <w:pPr>
        <w:numPr>
          <w:ilvl w:val="0"/>
          <w:numId w:val="39"/>
        </w:numPr>
      </w:pPr>
      <w:r>
        <w:t>and</w:t>
      </w:r>
      <w:r w:rsidR="00C55879">
        <w:t xml:space="preserve"> the same </w:t>
      </w:r>
      <w:r w:rsidR="00D138B9">
        <w:t>permitted test methods, e.g. cannot mix DFF and IFF results</w:t>
      </w:r>
      <w:r>
        <w:t>.</w:t>
      </w:r>
    </w:p>
    <w:p w14:paraId="3A655A62" w14:textId="316D57EE" w:rsidR="00EE7BCE" w:rsidRDefault="00EE7BCE" w:rsidP="00EE7BCE">
      <w:r w:rsidRPr="00EE7BCE">
        <w:rPr>
          <w:b/>
        </w:rPr>
        <w:t>Observation 1:</w:t>
      </w:r>
      <w:r>
        <w:rPr>
          <w:b/>
        </w:rPr>
        <w:t xml:space="preserve"> </w:t>
      </w:r>
      <w:r>
        <w:t>This paper considers the re-use of beam search</w:t>
      </w:r>
      <w:r w:rsidR="00BD77BB">
        <w:t xml:space="preserve"> results for the same frequency, </w:t>
      </w:r>
      <w:r>
        <w:t>the same environmental conditions</w:t>
      </w:r>
      <w:r w:rsidR="00BD77BB">
        <w:t xml:space="preserve"> and in the </w:t>
      </w:r>
      <w:r w:rsidR="00D138B9">
        <w:t>same permitted test method</w:t>
      </w:r>
      <w:r w:rsidR="00BD77BB">
        <w:t>.</w:t>
      </w:r>
    </w:p>
    <w:p w14:paraId="5CE74096" w14:textId="38012CFB" w:rsidR="00EE7BCE" w:rsidRDefault="005A6ABC" w:rsidP="00EE7BCE">
      <w:r>
        <w:t>The RX beam peak direction is where the minimum EIS is found (according to the Rx beam peak direction search in TS 38.521-2), and it is directly related to the maximum gain of the beamforming pattern of the DUT</w:t>
      </w:r>
      <w:r w:rsidR="00EE7BCE">
        <w:t xml:space="preserve">. As such, </w:t>
      </w:r>
      <w:r w:rsidR="00BD77BB">
        <w:t>it is a property of the DUT and it is not affected by external elements.</w:t>
      </w:r>
      <w:r w:rsidR="00C55879">
        <w:t xml:space="preserve"> Thus, it can be unambiguously defined with respect a coordinate system based on the DUT</w:t>
      </w:r>
      <w:r w:rsidR="005005F3">
        <w:t>, as shown in Figure 1</w:t>
      </w:r>
      <w:r w:rsidR="00C55879">
        <w:t>.</w:t>
      </w:r>
    </w:p>
    <w:p w14:paraId="2BC17A14" w14:textId="70F51CF0" w:rsidR="005005F3" w:rsidRDefault="005005F3" w:rsidP="005005F3">
      <w:pPr>
        <w:jc w:val="center"/>
      </w:pPr>
      <w:r w:rsidRPr="005005F3">
        <w:rPr>
          <w:noProof/>
          <w:lang w:val="de-DE" w:eastAsia="de-DE"/>
        </w:rPr>
        <w:lastRenderedPageBreak/>
        <mc:AlternateContent>
          <mc:Choice Requires="wpg">
            <w:drawing>
              <wp:inline distT="0" distB="0" distL="0" distR="0" wp14:anchorId="16B61428" wp14:editId="15DFC75D">
                <wp:extent cx="2488566" cy="2205526"/>
                <wp:effectExtent l="0" t="0" r="0" b="0"/>
                <wp:docPr id="42" name="Group 41"/>
                <wp:cNvGraphicFramePr/>
                <a:graphic xmlns:a="http://schemas.openxmlformats.org/drawingml/2006/main">
                  <a:graphicData uri="http://schemas.microsoft.com/office/word/2010/wordprocessingGroup">
                    <wpg:wgp>
                      <wpg:cNvGrpSpPr/>
                      <wpg:grpSpPr>
                        <a:xfrm>
                          <a:off x="0" y="0"/>
                          <a:ext cx="2488566" cy="2205526"/>
                          <a:chOff x="0" y="0"/>
                          <a:chExt cx="2488566" cy="2205526"/>
                        </a:xfrm>
                      </wpg:grpSpPr>
                      <wps:wsp>
                        <wps:cNvPr id="2" name="Oval 2"/>
                        <wps:cNvSpPr/>
                        <wps:spPr>
                          <a:xfrm rot="20351218">
                            <a:off x="598019" y="1125406"/>
                            <a:ext cx="432048" cy="1080120"/>
                          </a:xfrm>
                          <a:prstGeom prst="ellipse">
                            <a:avLst/>
                          </a:prstGeom>
                          <a:solidFill>
                            <a:schemeClr val="tx2">
                              <a:lumMod val="20000"/>
                              <a:lumOff val="80000"/>
                            </a:schemeClr>
                          </a:solidFill>
                          <a:ln>
                            <a:solidFill>
                              <a:schemeClr val="tx2">
                                <a:lumMod val="20000"/>
                                <a:lumOff val="80000"/>
                              </a:schemeClr>
                            </a:solidFill>
                          </a:ln>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t" anchorCtr="0" forceAA="0" compatLnSpc="1">
                          <a:prstTxWarp prst="textNoShape">
                            <a:avLst/>
                          </a:prstTxWarp>
                          <a:noAutofit/>
                        </wps:bodyPr>
                      </wps:wsp>
                      <wps:wsp>
                        <wps:cNvPr id="3" name="Oval 3"/>
                        <wps:cNvSpPr/>
                        <wps:spPr>
                          <a:xfrm rot="1642618">
                            <a:off x="358249" y="966824"/>
                            <a:ext cx="432048" cy="1080120"/>
                          </a:xfrm>
                          <a:prstGeom prst="ellipse">
                            <a:avLst/>
                          </a:prstGeom>
                          <a:solidFill>
                            <a:schemeClr val="tx2">
                              <a:lumMod val="20000"/>
                              <a:lumOff val="80000"/>
                            </a:schemeClr>
                          </a:solidFill>
                          <a:ln>
                            <a:solidFill>
                              <a:schemeClr val="tx2">
                                <a:lumMod val="20000"/>
                                <a:lumOff val="80000"/>
                              </a:schemeClr>
                            </a:solidFill>
                          </a:ln>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t" anchorCtr="0" forceAA="0" compatLnSpc="1">
                          <a:prstTxWarp prst="textNoShape">
                            <a:avLst/>
                          </a:prstTxWarp>
                          <a:noAutofit/>
                        </wps:bodyPr>
                      </wps:wsp>
                      <wps:wsp>
                        <wps:cNvPr id="4" name="Oval 4"/>
                        <wps:cNvSpPr/>
                        <wps:spPr>
                          <a:xfrm rot="7173764">
                            <a:off x="324036" y="797755"/>
                            <a:ext cx="432048" cy="1080120"/>
                          </a:xfrm>
                          <a:prstGeom prst="ellipse">
                            <a:avLst/>
                          </a:prstGeom>
                          <a:solidFill>
                            <a:schemeClr val="tx2">
                              <a:lumMod val="20000"/>
                              <a:lumOff val="80000"/>
                            </a:schemeClr>
                          </a:solidFill>
                          <a:ln>
                            <a:solidFill>
                              <a:schemeClr val="tx2">
                                <a:lumMod val="20000"/>
                                <a:lumOff val="80000"/>
                              </a:schemeClr>
                            </a:solidFill>
                          </a:ln>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t" anchorCtr="0" forceAA="0" compatLnSpc="1">
                          <a:prstTxWarp prst="textNoShape">
                            <a:avLst/>
                          </a:prstTxWarp>
                          <a:noAutofit/>
                        </wps:bodyPr>
                      </wps:wsp>
                      <wps:wsp>
                        <wps:cNvPr id="5" name="Oval 5"/>
                        <wps:cNvSpPr/>
                        <wps:spPr>
                          <a:xfrm>
                            <a:off x="274506" y="1142002"/>
                            <a:ext cx="1090790" cy="800411"/>
                          </a:xfrm>
                          <a:prstGeom prst="ellipse">
                            <a:avLst/>
                          </a:prstGeom>
                          <a:solidFill>
                            <a:schemeClr val="tx2">
                              <a:lumMod val="20000"/>
                              <a:lumOff val="80000"/>
                            </a:schemeClr>
                          </a:solidFill>
                          <a:ln>
                            <a:solidFill>
                              <a:schemeClr val="tx2">
                                <a:lumMod val="20000"/>
                                <a:lumOff val="80000"/>
                              </a:schemeClr>
                            </a:solidFill>
                          </a:ln>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t" anchorCtr="0" forceAA="0" compatLnSpc="1">
                          <a:prstTxWarp prst="textNoShape">
                            <a:avLst/>
                          </a:prstTxWarp>
                          <a:noAutofit/>
                        </wps:bodyPr>
                      </wps:wsp>
                      <wps:wsp>
                        <wps:cNvPr id="6" name="Oval 6"/>
                        <wps:cNvSpPr/>
                        <wps:spPr>
                          <a:xfrm rot="1642618">
                            <a:off x="671145" y="614900"/>
                            <a:ext cx="432048" cy="1004832"/>
                          </a:xfrm>
                          <a:prstGeom prst="ellipse">
                            <a:avLst/>
                          </a:prstGeom>
                          <a:solidFill>
                            <a:schemeClr val="tx2">
                              <a:lumMod val="20000"/>
                              <a:lumOff val="80000"/>
                            </a:schemeClr>
                          </a:solidFill>
                          <a:ln>
                            <a:solidFill>
                              <a:schemeClr val="tx2">
                                <a:lumMod val="20000"/>
                                <a:lumOff val="80000"/>
                              </a:schemeClr>
                            </a:solidFill>
                          </a:ln>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t" anchorCtr="0" forceAA="0" compatLnSpc="1">
                          <a:prstTxWarp prst="textNoShape">
                            <a:avLst/>
                          </a:prstTxWarp>
                          <a:noAutofit/>
                        </wps:bodyPr>
                      </wps:wsp>
                      <wps:wsp>
                        <wps:cNvPr id="7" name="Oval 7"/>
                        <wps:cNvSpPr/>
                        <wps:spPr>
                          <a:xfrm>
                            <a:off x="452164" y="488612"/>
                            <a:ext cx="432048" cy="1080120"/>
                          </a:xfrm>
                          <a:prstGeom prst="ellipse">
                            <a:avLst/>
                          </a:prstGeom>
                          <a:solidFill>
                            <a:schemeClr val="tx2">
                              <a:lumMod val="20000"/>
                              <a:lumOff val="80000"/>
                            </a:schemeClr>
                          </a:solidFill>
                          <a:ln>
                            <a:solidFill>
                              <a:schemeClr val="tx2">
                                <a:lumMod val="20000"/>
                                <a:lumOff val="80000"/>
                              </a:schemeClr>
                            </a:solidFill>
                          </a:ln>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t" anchorCtr="0" forceAA="0" compatLnSpc="1">
                          <a:prstTxWarp prst="textNoShape">
                            <a:avLst/>
                          </a:prstTxWarp>
                          <a:noAutofit/>
                        </wps:bodyPr>
                      </wps:wsp>
                      <wpg:grpSp>
                        <wpg:cNvPr id="8" name="Group 8"/>
                        <wpg:cNvGrpSpPr/>
                        <wpg:grpSpPr>
                          <a:xfrm>
                            <a:off x="327222" y="617343"/>
                            <a:ext cx="1152128" cy="1224136"/>
                            <a:chOff x="327222" y="617343"/>
                            <a:chExt cx="1152128" cy="1224136"/>
                          </a:xfrm>
                        </wpg:grpSpPr>
                        <wps:wsp>
                          <wps:cNvPr id="14" name="Straight Arrow Connector 14"/>
                          <wps:cNvCnPr/>
                          <wps:spPr>
                            <a:xfrm flipV="1">
                              <a:off x="687210" y="617343"/>
                              <a:ext cx="0" cy="864096"/>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wps:wsp>
                          <wps:cNvPr id="15" name="Straight Arrow Connector 15"/>
                          <wps:cNvCnPr/>
                          <wps:spPr>
                            <a:xfrm>
                              <a:off x="687210" y="1480943"/>
                              <a:ext cx="792140" cy="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wps:wsp>
                          <wps:cNvPr id="16" name="Rounded Rectangle 16"/>
                          <wps:cNvSpPr/>
                          <wps:spPr>
                            <a:xfrm>
                              <a:off x="543246" y="1193407"/>
                              <a:ext cx="287928" cy="576064"/>
                            </a:xfrm>
                            <a:prstGeom prst="roundRect">
                              <a:avLst/>
                            </a:prstGeom>
                            <a:ln w="28575"/>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t" anchorCtr="0" forceAA="0" compatLnSpc="1">
                            <a:prstTxWarp prst="textNoShape">
                              <a:avLst/>
                            </a:prstTxWarp>
                            <a:noAutofit/>
                          </wps:bodyPr>
                        </wps:wsp>
                        <wps:wsp>
                          <wps:cNvPr id="17" name="Straight Arrow Connector 17"/>
                          <wps:cNvCnPr/>
                          <wps:spPr>
                            <a:xfrm flipH="1">
                              <a:off x="327222" y="1463679"/>
                              <a:ext cx="359989" cy="37780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wpg:grpSp>
                      <wps:wsp>
                        <wps:cNvPr id="9" name="TextBox 28"/>
                        <wps:cNvSpPr txBox="1"/>
                        <wps:spPr>
                          <a:xfrm>
                            <a:off x="647096" y="543960"/>
                            <a:ext cx="272415" cy="323850"/>
                          </a:xfrm>
                          <a:prstGeom prst="rect">
                            <a:avLst/>
                          </a:prstGeom>
                          <a:noFill/>
                        </wps:spPr>
                        <wps:txbx>
                          <w:txbxContent>
                            <w:p w14:paraId="7E4DD0FE" w14:textId="6B306E37" w:rsidR="005005F3" w:rsidRDefault="00F86A29" w:rsidP="005005F3">
                              <w:pPr>
                                <w:pStyle w:val="NormalWeb"/>
                                <w:spacing w:before="0" w:beforeAutospacing="0" w:after="0" w:afterAutospacing="0"/>
                              </w:pPr>
                              <w:r>
                                <w:rPr>
                                  <w:rFonts w:asciiTheme="minorHAnsi" w:hAnsi="Calibri" w:cstheme="minorBidi"/>
                                  <w:color w:val="000000" w:themeColor="text1"/>
                                  <w:kern w:val="24"/>
                                  <w:sz w:val="30"/>
                                  <w:szCs w:val="30"/>
                                </w:rPr>
                                <w:t>Z</w:t>
                              </w:r>
                            </w:p>
                          </w:txbxContent>
                        </wps:txbx>
                        <wps:bodyPr wrap="none" rtlCol="0">
                          <a:spAutoFit/>
                        </wps:bodyPr>
                      </wps:wsp>
                      <wps:wsp>
                        <wps:cNvPr id="10" name="TextBox 29"/>
                        <wps:cNvSpPr txBox="1"/>
                        <wps:spPr>
                          <a:xfrm>
                            <a:off x="1309998" y="1170974"/>
                            <a:ext cx="276225" cy="323850"/>
                          </a:xfrm>
                          <a:prstGeom prst="rect">
                            <a:avLst/>
                          </a:prstGeom>
                          <a:noFill/>
                        </wps:spPr>
                        <wps:txbx>
                          <w:txbxContent>
                            <w:p w14:paraId="0A57ADE4" w14:textId="3C012B7E" w:rsidR="005005F3" w:rsidRDefault="00F86A29" w:rsidP="005005F3">
                              <w:pPr>
                                <w:pStyle w:val="NormalWeb"/>
                                <w:spacing w:before="0" w:beforeAutospacing="0" w:after="0" w:afterAutospacing="0"/>
                              </w:pPr>
                              <w:r>
                                <w:rPr>
                                  <w:rFonts w:asciiTheme="minorHAnsi" w:hAnsi="Calibri" w:cstheme="minorBidi"/>
                                  <w:color w:val="000000" w:themeColor="text1"/>
                                  <w:kern w:val="24"/>
                                  <w:sz w:val="30"/>
                                  <w:szCs w:val="30"/>
                                </w:rPr>
                                <w:t>Y</w:t>
                              </w:r>
                            </w:p>
                          </w:txbxContent>
                        </wps:txbx>
                        <wps:bodyPr wrap="none" rtlCol="0">
                          <a:spAutoFit/>
                        </wps:bodyPr>
                      </wps:wsp>
                      <wps:wsp>
                        <wps:cNvPr id="11" name="TextBox 30"/>
                        <wps:cNvSpPr txBox="1"/>
                        <wps:spPr>
                          <a:xfrm>
                            <a:off x="46374" y="1569357"/>
                            <a:ext cx="281940" cy="323850"/>
                          </a:xfrm>
                          <a:prstGeom prst="rect">
                            <a:avLst/>
                          </a:prstGeom>
                          <a:noFill/>
                        </wps:spPr>
                        <wps:txbx>
                          <w:txbxContent>
                            <w:p w14:paraId="60B6C2FE" w14:textId="13EE4FD3" w:rsidR="005005F3" w:rsidRDefault="00F86A29" w:rsidP="005005F3">
                              <w:pPr>
                                <w:pStyle w:val="NormalWeb"/>
                                <w:spacing w:before="0" w:beforeAutospacing="0" w:after="0" w:afterAutospacing="0"/>
                              </w:pPr>
                              <w:r>
                                <w:rPr>
                                  <w:rFonts w:asciiTheme="minorHAnsi" w:hAnsi="Calibri" w:cstheme="minorBidi"/>
                                  <w:color w:val="000000" w:themeColor="text1"/>
                                  <w:kern w:val="24"/>
                                  <w:sz w:val="30"/>
                                  <w:szCs w:val="30"/>
                                </w:rPr>
                                <w:t>X</w:t>
                              </w:r>
                            </w:p>
                          </w:txbxContent>
                        </wps:txbx>
                        <wps:bodyPr wrap="none" rtlCol="0">
                          <a:spAutoFit/>
                        </wps:bodyPr>
                      </wps:wsp>
                      <wps:wsp>
                        <wps:cNvPr id="12" name="Straight Arrow Connector 12"/>
                        <wps:cNvCnPr>
                          <a:endCxn id="7" idx="0"/>
                        </wps:cNvCnPr>
                        <wps:spPr>
                          <a:xfrm flipH="1">
                            <a:off x="668188" y="256166"/>
                            <a:ext cx="635219" cy="232446"/>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wps:wsp>
                        <wps:cNvPr id="13" name="TextBox 40"/>
                        <wps:cNvSpPr txBox="1"/>
                        <wps:spPr>
                          <a:xfrm>
                            <a:off x="1207771" y="0"/>
                            <a:ext cx="1280795" cy="323850"/>
                          </a:xfrm>
                          <a:prstGeom prst="rect">
                            <a:avLst/>
                          </a:prstGeom>
                          <a:noFill/>
                        </wps:spPr>
                        <wps:txbx>
                          <w:txbxContent>
                            <w:p w14:paraId="5E6368D5" w14:textId="1B1C1201" w:rsidR="005005F3" w:rsidRDefault="00F86A29" w:rsidP="005005F3">
                              <w:pPr>
                                <w:pStyle w:val="NormalWeb"/>
                                <w:spacing w:before="0" w:beforeAutospacing="0" w:after="0" w:afterAutospacing="0"/>
                              </w:pPr>
                              <w:r>
                                <w:rPr>
                                  <w:rFonts w:asciiTheme="minorHAnsi" w:hAnsi="Calibri" w:cstheme="minorBidi"/>
                                  <w:color w:val="000000" w:themeColor="text1"/>
                                  <w:kern w:val="24"/>
                                  <w:sz w:val="30"/>
                                  <w:szCs w:val="30"/>
                                </w:rPr>
                                <w:t>RX</w:t>
                              </w:r>
                              <w:r w:rsidR="005005F3">
                                <w:rPr>
                                  <w:rFonts w:asciiTheme="minorHAnsi" w:hAnsi="Calibri" w:cstheme="minorBidi"/>
                                  <w:color w:val="000000" w:themeColor="text1"/>
                                  <w:kern w:val="24"/>
                                  <w:sz w:val="30"/>
                                  <w:szCs w:val="30"/>
                                </w:rPr>
                                <w:t xml:space="preserve"> </w:t>
                              </w:r>
                              <w:r>
                                <w:rPr>
                                  <w:rFonts w:asciiTheme="minorHAnsi" w:hAnsi="Calibri" w:cstheme="minorBidi"/>
                                  <w:color w:val="000000" w:themeColor="text1"/>
                                  <w:kern w:val="24"/>
                                  <w:sz w:val="30"/>
                                  <w:szCs w:val="30"/>
                                </w:rPr>
                                <w:t>B</w:t>
                              </w:r>
                              <w:r w:rsidR="005005F3">
                                <w:rPr>
                                  <w:rFonts w:asciiTheme="minorHAnsi" w:hAnsi="Calibri" w:cstheme="minorBidi"/>
                                  <w:color w:val="000000" w:themeColor="text1"/>
                                  <w:kern w:val="24"/>
                                  <w:sz w:val="30"/>
                                  <w:szCs w:val="30"/>
                                </w:rPr>
                                <w:t>eam Peak</w:t>
                              </w:r>
                            </w:p>
                          </w:txbxContent>
                        </wps:txbx>
                        <wps:bodyPr wrap="none" rtlCol="0">
                          <a:spAutoFit/>
                        </wps:bodyPr>
                      </wps:wsp>
                    </wpg:wgp>
                  </a:graphicData>
                </a:graphic>
              </wp:inline>
            </w:drawing>
          </mc:Choice>
          <mc:Fallback>
            <w:pict>
              <v:group w14:anchorId="16B61428" id="Group 41" o:spid="_x0000_s1026" style="width:195.95pt;height:173.65pt;mso-position-horizontal-relative:char;mso-position-vertical-relative:line" coordsize="24885,22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">
                <v:oval id="Oval 2" o:spid="_x0000_s1027" style="position:absolute;left:5980;top:11254;width:4320;height:10801;rotation:-136400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" fillcolor="#d5dce4 [671]" strokecolor="#d5dce4 [671]" strokeweight="1pt">
                  <v:stroke joinstyle="miter"/>
                </v:oval>
                <v:oval id="Oval 3" o:spid="_x0000_s1028" style="position:absolute;left:3582;top:9668;width:4320;height:10801;rotation:179417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" fillcolor="#d5dce4 [671]" strokecolor="#d5dce4 [671]" strokeweight="1pt">
                  <v:stroke joinstyle="miter"/>
                </v:oval>
                <v:oval id="Oval 4" o:spid="_x0000_s1029" style="position:absolute;left:3240;top:7977;width:4321;height:10801;rotation:783566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" fillcolor="#d5dce4 [671]" strokecolor="#d5dce4 [671]" strokeweight="1pt">
                  <v:stroke joinstyle="miter"/>
                </v:oval>
                <v:oval id="Oval 5" o:spid="_x0000_s1030" style="position:absolute;left:2745;top:11420;width:10907;height:8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" fillcolor="#d5dce4 [671]" strokecolor="#d5dce4 [671]" strokeweight="1pt">
                  <v:stroke joinstyle="miter"/>
                </v:oval>
                <v:oval id="Oval 6" o:spid="_x0000_s1031" style="position:absolute;left:6711;top:6149;width:4320;height:10048;rotation:179417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" fillcolor="#d5dce4 [671]" strokecolor="#d5dce4 [671]" strokeweight="1pt">
                  <v:stroke joinstyle="miter"/>
                </v:oval>
                <v:oval id="Oval 7" o:spid="_x0000_s1032" style="position:absolute;left:4521;top:4886;width:4321;height:10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" fillcolor="#d5dce4 [671]" strokecolor="#d5dce4 [671]" strokeweight="1pt">
                  <v:stroke joinstyle="miter"/>
                </v:oval>
                <v:group id="Group 8" o:spid="_x0000_s1033" style="position:absolute;left:3272;top:6173;width:11521;height:12241" coordorigin="3272,6173" coordsize="11521,12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type id="_x0000_t32" coordsize="21600,21600" o:spt="32" o:oned="t" path="m,l21600,21600e" filled="f">
                    <v:path arrowok="t" fillok="f" o:connecttype="none"/>
                    <o:lock v:ext="edit" shapetype="t"/>
                  </v:shapetype>
                  <v:shape id="Straight Arrow Connector 14" o:spid="_x0000_s1034" type="#_x0000_t32" style="position:absolute;left:6872;top:6173;width:0;height:86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" strokecolor="#4472c4 [3204]" strokeweight="3pt">
                    <v:stroke endarrow="block" joinstyle="miter"/>
                  </v:shape>
                  <v:shape id="Straight Arrow Connector 15" o:spid="_x0000_s1035" type="#_x0000_t32" style="position:absolute;left:6872;top:14809;width:79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" strokecolor="#4472c4 [3204]" strokeweight="3pt">
                    <v:stroke endarrow="block" joinstyle="miter"/>
                  </v:shape>
                  <v:roundrect id="Rounded Rectangle 16" o:spid="_x0000_s1036" style="position:absolute;left:5432;top:11934;width:2879;height:576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" fillcolor="white [3201]" strokecolor="#4472c4 [3204]" strokeweight="2.25pt">
                    <v:stroke joinstyle="miter"/>
                  </v:roundrect>
                  <v:shape id="Straight Arrow Connector 17" o:spid="_x0000_s1037" type="#_x0000_t32" style="position:absolute;left:3272;top:14636;width:3600;height:377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" strokecolor="#4472c4 [3204]" strokeweight="3pt">
                    <v:stroke endarrow="block" joinstyle="miter"/>
                  </v:shape>
                </v:group>
                <v:shapetype id="_x0000_t202" coordsize="21600,21600" o:spt="202" path="m,l,21600r21600,l21600,xe">
                  <v:stroke joinstyle="miter"/>
                  <v:path gradientshapeok="t" o:connecttype="rect"/>
                </v:shapetype>
                <v:shape id="TextBox 28" o:spid="_x0000_s1038" type="#_x0000_t202" style="position:absolute;left:6470;top:5439;width:2725;height:32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" filled="f" stroked="f">
                  <v:textbox style="mso-fit-shape-to-text:t">
                    <w:txbxContent>
                      <w:p w14:paraId="7E4DD0FE" w14:textId="6B306E37" w:rsidR="005005F3" w:rsidRDefault="00F86A29" w:rsidP="005005F3">
                        <w:pPr>
                          <w:pStyle w:val="NormalWeb"/>
                          <w:spacing w:before="0" w:beforeAutospacing="0" w:after="0" w:afterAutospacing="0"/>
                        </w:pPr>
                        <w:r>
                          <w:rPr>
                            <w:rFonts w:asciiTheme="minorHAnsi" w:hAnsi="Calibri" w:cstheme="minorBidi"/>
                            <w:color w:val="000000" w:themeColor="text1"/>
                            <w:kern w:val="24"/>
                            <w:sz w:val="30"/>
                            <w:szCs w:val="30"/>
                          </w:rPr>
                          <w:t>Z</w:t>
                        </w:r>
                      </w:p>
                    </w:txbxContent>
                  </v:textbox>
                </v:shape>
                <v:shape id="TextBox 29" o:spid="_x0000_s1039" type="#_x0000_t202" style="position:absolute;left:13099;top:11709;width:2763;height:32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0A57ADE4" w14:textId="3C012B7E" w:rsidR="005005F3" w:rsidRDefault="00F86A29" w:rsidP="005005F3">
                        <w:pPr>
                          <w:pStyle w:val="NormalWeb"/>
                          <w:spacing w:before="0" w:beforeAutospacing="0" w:after="0" w:afterAutospacing="0"/>
                        </w:pPr>
                        <w:r>
                          <w:rPr>
                            <w:rFonts w:asciiTheme="minorHAnsi" w:hAnsi="Calibri" w:cstheme="minorBidi"/>
                            <w:color w:val="000000" w:themeColor="text1"/>
                            <w:kern w:val="24"/>
                            <w:sz w:val="30"/>
                            <w:szCs w:val="30"/>
                          </w:rPr>
                          <w:t>Y</w:t>
                        </w:r>
                      </w:p>
                    </w:txbxContent>
                  </v:textbox>
                </v:shape>
                <v:shape id="TextBox 30" o:spid="_x0000_s1040" type="#_x0000_t202" style="position:absolute;left:463;top:15693;width:2820;height:32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" filled="f" stroked="f">
                  <v:textbox style="mso-fit-shape-to-text:t">
                    <w:txbxContent>
                      <w:p w14:paraId="60B6C2FE" w14:textId="13EE4FD3" w:rsidR="005005F3" w:rsidRDefault="00F86A29" w:rsidP="005005F3">
                        <w:pPr>
                          <w:pStyle w:val="NormalWeb"/>
                          <w:spacing w:before="0" w:beforeAutospacing="0" w:after="0" w:afterAutospacing="0"/>
                        </w:pPr>
                        <w:r>
                          <w:rPr>
                            <w:rFonts w:asciiTheme="minorHAnsi" w:hAnsi="Calibri" w:cstheme="minorBidi"/>
                            <w:color w:val="000000" w:themeColor="text1"/>
                            <w:kern w:val="24"/>
                            <w:sz w:val="30"/>
                            <w:szCs w:val="30"/>
                          </w:rPr>
                          <w:t>X</w:t>
                        </w:r>
                      </w:p>
                    </w:txbxContent>
                  </v:textbox>
                </v:shape>
                <v:shape id="Straight Arrow Connector 12" o:spid="_x0000_s1041" type="#_x0000_t32" style="position:absolute;left:6681;top:2561;width:6353;height:23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" strokecolor="#4472c4 [3204]" strokeweight="3pt">
                  <v:stroke endarrow="block" joinstyle="miter"/>
                </v:shape>
                <v:shape id="TextBox 40" o:spid="_x0000_s1042" type="#_x0000_t202" style="position:absolute;left:12077;width:12808;height:32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" filled="f" stroked="f">
                  <v:textbox style="mso-fit-shape-to-text:t">
                    <w:txbxContent>
                      <w:p w14:paraId="5E6368D5" w14:textId="1B1C1201" w:rsidR="005005F3" w:rsidRDefault="00F86A29" w:rsidP="005005F3">
                        <w:pPr>
                          <w:pStyle w:val="NormalWeb"/>
                          <w:spacing w:before="0" w:beforeAutospacing="0" w:after="0" w:afterAutospacing="0"/>
                        </w:pPr>
                        <w:r>
                          <w:rPr>
                            <w:rFonts w:asciiTheme="minorHAnsi" w:hAnsi="Calibri" w:cstheme="minorBidi"/>
                            <w:color w:val="000000" w:themeColor="text1"/>
                            <w:kern w:val="24"/>
                            <w:sz w:val="30"/>
                            <w:szCs w:val="30"/>
                          </w:rPr>
                          <w:t>RX</w:t>
                        </w:r>
                        <w:r w:rsidR="005005F3">
                          <w:rPr>
                            <w:rFonts w:asciiTheme="minorHAnsi" w:hAnsi="Calibri" w:cstheme="minorBidi"/>
                            <w:color w:val="000000" w:themeColor="text1"/>
                            <w:kern w:val="24"/>
                            <w:sz w:val="30"/>
                            <w:szCs w:val="30"/>
                          </w:rPr>
                          <w:t xml:space="preserve"> </w:t>
                        </w:r>
                        <w:r>
                          <w:rPr>
                            <w:rFonts w:asciiTheme="minorHAnsi" w:hAnsi="Calibri" w:cstheme="minorBidi"/>
                            <w:color w:val="000000" w:themeColor="text1"/>
                            <w:kern w:val="24"/>
                            <w:sz w:val="30"/>
                            <w:szCs w:val="30"/>
                          </w:rPr>
                          <w:t>B</w:t>
                        </w:r>
                        <w:r w:rsidR="005005F3">
                          <w:rPr>
                            <w:rFonts w:asciiTheme="minorHAnsi" w:hAnsi="Calibri" w:cstheme="minorBidi"/>
                            <w:color w:val="000000" w:themeColor="text1"/>
                            <w:kern w:val="24"/>
                            <w:sz w:val="30"/>
                            <w:szCs w:val="30"/>
                          </w:rPr>
                          <w:t>eam Peak</w:t>
                        </w:r>
                      </w:p>
                    </w:txbxContent>
                  </v:textbox>
                </v:shape>
                <w10:anchorlock/>
              </v:group>
            </w:pict>
          </mc:Fallback>
        </mc:AlternateContent>
      </w:r>
    </w:p>
    <w:p w14:paraId="066411C9" w14:textId="5FC3A9DE" w:rsidR="005005F3" w:rsidRDefault="005005F3" w:rsidP="005005F3">
      <w:pPr>
        <w:jc w:val="center"/>
      </w:pPr>
      <w:r>
        <w:t xml:space="preserve">Figure 1: Example of a DUT antenna pattern with respect to the DUT </w:t>
      </w:r>
      <w:r w:rsidR="00B22BDB">
        <w:t>(</w:t>
      </w:r>
      <w:r>
        <w:t>coordinate</w:t>
      </w:r>
      <w:r w:rsidR="00B22BDB">
        <w:t>)</w:t>
      </w:r>
      <w:r>
        <w:t xml:space="preserve"> </w:t>
      </w:r>
      <w:r w:rsidR="00B22BDB">
        <w:t>axes</w:t>
      </w:r>
    </w:p>
    <w:p w14:paraId="74ABC90D" w14:textId="6B461E71" w:rsidR="00BD77BB" w:rsidRDefault="00BD77BB" w:rsidP="00EE7BCE">
      <w:r w:rsidRPr="00EE7BCE">
        <w:rPr>
          <w:b/>
        </w:rPr>
        <w:t xml:space="preserve">Observation </w:t>
      </w:r>
      <w:r>
        <w:rPr>
          <w:b/>
        </w:rPr>
        <w:t>2</w:t>
      </w:r>
      <w:r w:rsidRPr="00EE7BCE">
        <w:rPr>
          <w:b/>
        </w:rPr>
        <w:t>:</w:t>
      </w:r>
      <w:r>
        <w:rPr>
          <w:b/>
        </w:rPr>
        <w:t xml:space="preserve"> </w:t>
      </w:r>
      <w:r w:rsidR="0045417F">
        <w:t>The RX</w:t>
      </w:r>
      <w:r>
        <w:t xml:space="preserve"> beam peak is a property of the DUT</w:t>
      </w:r>
      <w:r w:rsidR="00C55879">
        <w:t xml:space="preserve"> and it can be unambiguously defined with respect a DUT-based coordinate system</w:t>
      </w:r>
      <w:r>
        <w:t>.</w:t>
      </w:r>
    </w:p>
    <w:p w14:paraId="41BF6175" w14:textId="51B834CA" w:rsidR="005005F3" w:rsidRDefault="005005F3" w:rsidP="00EE7BCE">
      <w:r>
        <w:t>When the DUT is placed in the TE, there is a certain relation between the DUT coordinate frames and the TE coordinate frames</w:t>
      </w:r>
      <w:r w:rsidR="00411C06">
        <w:t xml:space="preserve"> (see [3])</w:t>
      </w:r>
      <w:r>
        <w:t>.</w:t>
      </w:r>
      <w:r w:rsidR="00AE5379">
        <w:t xml:space="preserve"> For instance, Figure 2 on the left side shows an example of the alignment between the DUT and the TE</w:t>
      </w:r>
      <w:r w:rsidR="00B22BDB">
        <w:t xml:space="preserve"> corresponding to Alignment Option 1 – Orientation 1 in [</w:t>
      </w:r>
      <w:r w:rsidR="00411C06">
        <w:t>2</w:t>
      </w:r>
      <w:r w:rsidR="00B22BDB">
        <w:t>]</w:t>
      </w:r>
      <w:r w:rsidR="00AE5379">
        <w:t xml:space="preserve">. In this </w:t>
      </w:r>
      <w:r w:rsidR="00B22BDB">
        <w:t>example</w:t>
      </w:r>
      <w:r w:rsidR="00AE5379">
        <w:t>, the r</w:t>
      </w:r>
      <w:r w:rsidR="0045417F">
        <w:t>elation would be that the RX</w:t>
      </w:r>
      <w:r w:rsidR="00AE5379">
        <w:t xml:space="preserve"> beam peak of the DUT (see Figure 1) </w:t>
      </w:r>
      <w:r w:rsidR="00B22BDB">
        <w:t>corresponds to</w:t>
      </w:r>
      <w:r w:rsidR="00AE5379">
        <w:t xml:space="preserve"> the Z axis for the TE coordinate system.</w:t>
      </w:r>
    </w:p>
    <w:p w14:paraId="6E7D27A6" w14:textId="0F528B2C" w:rsidR="00AE5379" w:rsidRPr="0045417F" w:rsidRDefault="00BD77BB" w:rsidP="00EE7BCE">
      <w:pPr>
        <w:rPr>
          <w:noProof/>
          <w:lang w:val="de-DE" w:eastAsia="de-DE"/>
        </w:rPr>
      </w:pPr>
      <w:r>
        <w:t xml:space="preserve">The </w:t>
      </w:r>
      <w:r w:rsidR="00F86A29">
        <w:t xml:space="preserve">RX </w:t>
      </w:r>
      <w:r>
        <w:t>beam peak is static and does not ch</w:t>
      </w:r>
      <w:r w:rsidR="0045417F">
        <w:t>ange over time. Thus, the RX</w:t>
      </w:r>
      <w:r>
        <w:t xml:space="preserve"> beam peak remains unchanged for tests executed at different points it time in the same test system without any external interaction (i.e. without re-positioning the DUT). If the DUT is removed and placed back in the test system (for instance, to</w:t>
      </w:r>
      <w:r w:rsidR="0045417F">
        <w:t xml:space="preserve"> change the battery), the RX</w:t>
      </w:r>
      <w:r>
        <w:t xml:space="preserve"> beam peak of the DUT is still not modified. However, the coordinate system of the DUT in relation to the coordinate system of the Test Setup may be slightly different due to the re-positioning</w:t>
      </w:r>
      <w:r w:rsidR="00AE5379">
        <w:t xml:space="preserve">, as it can be seen in Figure 2 on the </w:t>
      </w:r>
      <w:r w:rsidR="003A6281">
        <w:t>center</w:t>
      </w:r>
      <w:r w:rsidR="00AE5379">
        <w:t>. There has been a small rotation and the Y axis of the DUT is no longer perfectly aligned with the Z axis of the TE</w:t>
      </w:r>
      <w:r>
        <w:t>. Hence, there is a small MU associated with the fact of re-positioning the device.</w:t>
      </w:r>
      <w:r w:rsidR="00AE5379" w:rsidRPr="0045417F">
        <w:rPr>
          <w:noProof/>
          <w:lang w:val="de-DE" w:eastAsia="de-DE"/>
        </w:rPr>
        <w:t xml:space="preserve"> </w:t>
      </w:r>
    </w:p>
    <w:p w14:paraId="3FD3FD65" w14:textId="680ADA0F" w:rsidR="00BD77BB" w:rsidRDefault="00462C30" w:rsidP="00AE5379">
      <w:pPr>
        <w:keepNext/>
        <w:jc w:val="center"/>
      </w:pPr>
      <w:r>
        <w:rPr>
          <w:noProof/>
          <w:lang w:val="de-DE" w:eastAsia="de-DE"/>
        </w:rPr>
        <w:drawing>
          <wp:inline distT="0" distB="0" distL="0" distR="0" wp14:anchorId="5C767D4F" wp14:editId="0227ADB2">
            <wp:extent cx="6126480" cy="29260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6480" cy="2926080"/>
                    </a:xfrm>
                    <a:prstGeom prst="rect">
                      <a:avLst/>
                    </a:prstGeom>
                    <a:noFill/>
                    <a:ln>
                      <a:noFill/>
                    </a:ln>
                  </pic:spPr>
                </pic:pic>
              </a:graphicData>
            </a:graphic>
          </wp:inline>
        </w:drawing>
      </w:r>
    </w:p>
    <w:p w14:paraId="7ACA0D55" w14:textId="22A2DEF6" w:rsidR="00AE5379" w:rsidRDefault="00AE5379" w:rsidP="00AE5379">
      <w:pPr>
        <w:jc w:val="center"/>
      </w:pPr>
      <w:r>
        <w:t>Figure 2: Relation between the DUT and the TE coordinate systems</w:t>
      </w:r>
    </w:p>
    <w:p w14:paraId="1623E9B9" w14:textId="2DB14850" w:rsidR="00AE5379" w:rsidRDefault="00AE5379" w:rsidP="00EE7BCE">
      <w:r>
        <w:t xml:space="preserve">In such case, if the TE applies the previous relation between TE coordinates and DUT coordinates, it will assume that </w:t>
      </w:r>
      <w:r w:rsidR="003A6281">
        <w:t xml:space="preserve">the DUT’s </w:t>
      </w:r>
      <w:r w:rsidR="00C773D0">
        <w:t xml:space="preserve">RX </w:t>
      </w:r>
      <w:r w:rsidR="003A6281">
        <w:t>beam peak is pointing in the Z direction, and there will be an error due to the misalignment, as shown on the right side of Figure 2.</w:t>
      </w:r>
    </w:p>
    <w:p w14:paraId="2BD02189" w14:textId="3EA3D168" w:rsidR="003A6281" w:rsidRDefault="00BD77BB" w:rsidP="00EE7BCE">
      <w:r w:rsidRPr="00BD77BB">
        <w:rPr>
          <w:b/>
        </w:rPr>
        <w:lastRenderedPageBreak/>
        <w:t xml:space="preserve">Proposal 1: </w:t>
      </w:r>
      <w:r>
        <w:t xml:space="preserve">Allow the beam peak search results to be re-used in the same Test System in consecutive test runs when the DUT has been moved and placed back in the chamber. Consider </w:t>
      </w:r>
      <w:r w:rsidR="008543BB">
        <w:t xml:space="preserve">that </w:t>
      </w:r>
      <w:r>
        <w:t>the effects of the re-positioning</w:t>
      </w:r>
      <w:r w:rsidR="008543BB">
        <w:t xml:space="preserve"> can be neglected</w:t>
      </w:r>
      <w:r>
        <w:t xml:space="preserve"> if</w:t>
      </w:r>
      <w:r w:rsidR="008543BB">
        <w:t xml:space="preserve"> the TE can guarantee the difference in the DUT orientation is smaller than [TBD]°.</w:t>
      </w:r>
    </w:p>
    <w:p w14:paraId="2DA54DC9" w14:textId="3C4B293F" w:rsidR="00C773D0" w:rsidRDefault="00C773D0" w:rsidP="00EE7BCE">
      <w:r>
        <w:t xml:space="preserve">In case the misalignment error is bigger than [TBD]°, it can be corrected by running a reduced/simplified beam peak search procedure around the expected RX beam peak, as shown in Figure 3, in order to fine tune the relation between TE coordinate system and the DUT coordinate system. </w:t>
      </w:r>
    </w:p>
    <w:p w14:paraId="2A7A33A0" w14:textId="7951CA3E" w:rsidR="00233482" w:rsidRDefault="00462C30" w:rsidP="00233482">
      <w:pPr>
        <w:jc w:val="center"/>
      </w:pPr>
      <w:r>
        <w:rPr>
          <w:noProof/>
          <w:lang w:val="de-DE" w:eastAsia="de-DE"/>
        </w:rPr>
        <w:drawing>
          <wp:inline distT="0" distB="0" distL="0" distR="0" wp14:anchorId="1152A25E" wp14:editId="236B0639">
            <wp:extent cx="2313651" cy="3268097"/>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37276" cy="3301467"/>
                    </a:xfrm>
                    <a:prstGeom prst="rect">
                      <a:avLst/>
                    </a:prstGeom>
                    <a:noFill/>
                    <a:ln>
                      <a:noFill/>
                    </a:ln>
                  </pic:spPr>
                </pic:pic>
              </a:graphicData>
            </a:graphic>
          </wp:inline>
        </w:drawing>
      </w:r>
    </w:p>
    <w:p w14:paraId="2C43042C" w14:textId="3C10B4D9" w:rsidR="00233482" w:rsidRDefault="00233482" w:rsidP="00233482">
      <w:pPr>
        <w:jc w:val="center"/>
      </w:pPr>
      <w:r>
        <w:t>Figure 3: Proposal for a reduced RX beam peak search to correct misalignments between TE and DUT</w:t>
      </w:r>
    </w:p>
    <w:p w14:paraId="36B86352" w14:textId="008FEAF9" w:rsidR="008543BB" w:rsidRDefault="008543BB" w:rsidP="00EE7BCE">
      <w:r w:rsidRPr="00BD77BB">
        <w:rPr>
          <w:b/>
        </w:rPr>
        <w:t xml:space="preserve">Proposal </w:t>
      </w:r>
      <w:r>
        <w:rPr>
          <w:b/>
        </w:rPr>
        <w:t>2</w:t>
      </w:r>
      <w:r w:rsidRPr="00BD77BB">
        <w:rPr>
          <w:b/>
        </w:rPr>
        <w:t>:</w:t>
      </w:r>
      <w:r>
        <w:rPr>
          <w:b/>
        </w:rPr>
        <w:t xml:space="preserve"> </w:t>
      </w:r>
      <w:r w:rsidRPr="008543BB">
        <w:t>If</w:t>
      </w:r>
      <w:r>
        <w:rPr>
          <w:b/>
        </w:rPr>
        <w:t xml:space="preserve"> </w:t>
      </w:r>
      <w:r w:rsidR="00462C30" w:rsidRPr="00462C30">
        <w:t xml:space="preserve">the </w:t>
      </w:r>
      <w:r>
        <w:t xml:space="preserve">uncertainty in the DUT orientation with respect to the TE is bigger than [TBD]°, the TE </w:t>
      </w:r>
      <w:r w:rsidR="00C773D0">
        <w:t xml:space="preserve">shall </w:t>
      </w:r>
      <w:r>
        <w:t>run a procedure (e.g. a reduced</w:t>
      </w:r>
      <w:r w:rsidR="00C773D0">
        <w:t xml:space="preserve"> RX</w:t>
      </w:r>
      <w:r>
        <w:t xml:space="preserve"> </w:t>
      </w:r>
      <w:r w:rsidR="00C773D0">
        <w:t>beam peak</w:t>
      </w:r>
      <w:r>
        <w:t xml:space="preserve"> search around the previously measured beam peak) to re-</w:t>
      </w:r>
      <w:r w:rsidR="00462C30">
        <w:t>align</w:t>
      </w:r>
      <w:r>
        <w:t>.</w:t>
      </w:r>
    </w:p>
    <w:p w14:paraId="293B98D0" w14:textId="41D956AD" w:rsidR="00233482" w:rsidRDefault="00F6114F" w:rsidP="00EE7BCE">
      <w:r>
        <w:t xml:space="preserve">From Proposals 1 and 2, it is proposed to re-use the beam peak search results on the same TE at different test runs, even after the device has been removed from the system and placed back. </w:t>
      </w:r>
      <w:r w:rsidR="00233482">
        <w:t xml:space="preserve">What about different instances of the same TE model, e.g. anechoic chambers 1 and 2, both implementing RF IFF? As both TEs are of the same model, </w:t>
      </w:r>
      <w:r w:rsidR="00094270">
        <w:t xml:space="preserve">the same MU budget calculation is applicable for both of them and </w:t>
      </w:r>
      <w:r w:rsidR="00233482">
        <w:t xml:space="preserve">the same approach from Proposal 2 can be applied seamlessly. </w:t>
      </w:r>
      <w:r w:rsidR="00094270">
        <w:t>There can be a small tolerance on the absolute gain at the beam peak due to slightly different MUs in the TEs, but this is not relevant  for the beam peak direction.</w:t>
      </w:r>
    </w:p>
    <w:p w14:paraId="38E6106B" w14:textId="2C35FEF7" w:rsidR="00F541D2" w:rsidRDefault="00F541D2" w:rsidP="00EE7BCE">
      <w:r w:rsidRPr="00F541D2">
        <w:rPr>
          <w:b/>
        </w:rPr>
        <w:t>Proposal 3:</w:t>
      </w:r>
      <w:r>
        <w:t xml:space="preserve"> the </w:t>
      </w:r>
      <w:r w:rsidR="001937EF">
        <w:t xml:space="preserve">RX </w:t>
      </w:r>
      <w:r>
        <w:t xml:space="preserve">beam peak search results can be re-used between different instances of the same TE model. The TE shall run a procedure </w:t>
      </w:r>
      <w:r w:rsidR="00094270">
        <w:t xml:space="preserve">(same as in Proposal 2) </w:t>
      </w:r>
      <w:r>
        <w:t>to ensure the alignment of t</w:t>
      </w:r>
      <w:r w:rsidR="00094270">
        <w:t>he DUT and TE.</w:t>
      </w:r>
    </w:p>
    <w:p w14:paraId="66DDDBDF" w14:textId="16048514" w:rsidR="00280627" w:rsidRDefault="00280627" w:rsidP="00EE7BCE">
      <w:r>
        <w:t xml:space="preserve">The last remaining point is whether the RX beam peak search results can be re-used between different types of TE. Here </w:t>
      </w:r>
      <w:r w:rsidR="00E72800">
        <w:t>we should</w:t>
      </w:r>
      <w:r w:rsidR="0045417F">
        <w:t xml:space="preserve"> differentiate between two</w:t>
      </w:r>
      <w:r>
        <w:t xml:space="preserve"> cases: </w:t>
      </w:r>
    </w:p>
    <w:p w14:paraId="6B491701" w14:textId="2E831F87" w:rsidR="00280627" w:rsidRDefault="00280627" w:rsidP="00280627">
      <w:pPr>
        <w:numPr>
          <w:ilvl w:val="0"/>
          <w:numId w:val="40"/>
        </w:numPr>
      </w:pPr>
      <w:r>
        <w:t xml:space="preserve">Case 1: the two TEs are of the same permitted Test Method (as defined in </w:t>
      </w:r>
      <w:r w:rsidR="00411C06">
        <w:t>[2]</w:t>
      </w:r>
      <w:r>
        <w:t xml:space="preserve">), but have different number of antenna. For example, the </w:t>
      </w:r>
      <w:r w:rsidR="00E72800">
        <w:t xml:space="preserve">simplified </w:t>
      </w:r>
      <w:r>
        <w:t>DFF setup as used for RF with 1AoA and the DFF setup used for RRM with multiple AoA.</w:t>
      </w:r>
    </w:p>
    <w:p w14:paraId="5C868A6E" w14:textId="7F16D1CD" w:rsidR="00280627" w:rsidRDefault="00280627" w:rsidP="00280627">
      <w:pPr>
        <w:numPr>
          <w:ilvl w:val="0"/>
          <w:numId w:val="40"/>
        </w:numPr>
      </w:pPr>
      <w:r>
        <w:t>Case 2: the two TEs are of different Test Methods, but both of them in the Far Field. For example, the IFF setup as used for RF with 1AoA and the DFF setup used for RRM with multiple AoA.</w:t>
      </w:r>
    </w:p>
    <w:p w14:paraId="610A1920" w14:textId="3A7EA670" w:rsidR="00280627" w:rsidRDefault="00120F65" w:rsidP="00280627">
      <w:r>
        <w:t>For Case 1, the two tests setups will have different uncertainty budgets, due to the addition of multiple AoA. However, the two setups are limited by the same constraints: both test setups are applicable to the same DUT size, QZ size and antenna aperture. Furthermore, the coordinate systems of both test setups are compatible. The coordinate system of the DFF with 1AoA can be translated into the coordinate system of the DFF with multiple AoA by selecting one of the multiple antenna as reference. The positioning systems of both setup might be different, for example they may rotate in different ways. Nonetheless, this is just a problem of coordinate transformation that can be solved geometrically.</w:t>
      </w:r>
    </w:p>
    <w:p w14:paraId="7C58A376" w14:textId="73694EA9" w:rsidR="00120F65" w:rsidRDefault="00120F65" w:rsidP="00280627">
      <w:r>
        <w:lastRenderedPageBreak/>
        <w:t>Coming back to Observation 2, where it was stated that the RX antenna pattern is a property of the DUT. That implies that the TE does not have an influence on the antenna pattern of the DUT. By having different MU, the TE can, for instance, apply a dB offset to the antenna gain of the DUT, but this offset affects then to all directions. The TE cannot change the shape of the antenna pattern, hence cannot change the beam peak direction</w:t>
      </w:r>
      <w:r w:rsidR="00643130">
        <w:t>, further than a [TBD] tolerance. This tolerance is due to the measurement grid and other MU contributors than may have a small effect in the ability of the TE to find the beam peak</w:t>
      </w:r>
      <w:r>
        <w:t xml:space="preserve">. Thus, </w:t>
      </w:r>
      <w:r w:rsidR="001937EF">
        <w:t xml:space="preserve">the same method of proposals 2 and 3 can be applied for Case 1. </w:t>
      </w:r>
    </w:p>
    <w:p w14:paraId="10EC7CBF" w14:textId="775D3C31" w:rsidR="001937EF" w:rsidRDefault="001937EF" w:rsidP="00280627">
      <w:r w:rsidRPr="001937EF">
        <w:rPr>
          <w:b/>
        </w:rPr>
        <w:t>Proposal 4:</w:t>
      </w:r>
      <w:r>
        <w:t xml:space="preserve"> the RX beam peak search results between TE of the same permitted Test Method that have different number of antenna. The TE shall run a procedure (same as in Proposal 2) to ensure the alignment of the DUT and TE.</w:t>
      </w:r>
    </w:p>
    <w:p w14:paraId="7A3A26F9" w14:textId="5556992B" w:rsidR="001937EF" w:rsidRDefault="001937EF" w:rsidP="00D138B9">
      <w:r>
        <w:t>Case 2 is a bit more complicated, since the two test setups will be affected by different constraints. As example, the DFF setup is only defined for DUTs with 5 cm antenna aperture</w:t>
      </w:r>
      <w:r w:rsidR="00D138B9">
        <w:t>. Thus, this case would need further discussion and is not considered in this paper.</w:t>
      </w:r>
    </w:p>
    <w:bookmarkEnd w:id="2"/>
    <w:p w14:paraId="47B72BC1" w14:textId="11A5CF3C" w:rsidR="008B0529" w:rsidRDefault="0053435C" w:rsidP="0053435C">
      <w:pPr>
        <w:pStyle w:val="Heading1"/>
        <w:ind w:left="567" w:hanging="567"/>
      </w:pPr>
      <w:r>
        <w:t>Conclusion</w:t>
      </w:r>
    </w:p>
    <w:p w14:paraId="642D6C6F" w14:textId="77777777" w:rsidR="00D138B9" w:rsidRDefault="00D138B9" w:rsidP="00D138B9">
      <w:r w:rsidRPr="00EE7BCE">
        <w:rPr>
          <w:b/>
        </w:rPr>
        <w:t>Observation 1:</w:t>
      </w:r>
      <w:r>
        <w:rPr>
          <w:b/>
        </w:rPr>
        <w:t xml:space="preserve"> </w:t>
      </w:r>
      <w:r>
        <w:t>This paper considers the re-use of beam search results for the same frequency, the same environmental conditions and in the same permitted test method.</w:t>
      </w:r>
    </w:p>
    <w:p w14:paraId="1E9EBAFE" w14:textId="77777777" w:rsidR="00D138B9" w:rsidRDefault="00D138B9" w:rsidP="00D138B9">
      <w:r w:rsidRPr="00EE7BCE">
        <w:rPr>
          <w:b/>
        </w:rPr>
        <w:t xml:space="preserve">Observation </w:t>
      </w:r>
      <w:r>
        <w:rPr>
          <w:b/>
        </w:rPr>
        <w:t>2</w:t>
      </w:r>
      <w:r w:rsidRPr="00EE7BCE">
        <w:rPr>
          <w:b/>
        </w:rPr>
        <w:t>:</w:t>
      </w:r>
      <w:r>
        <w:rPr>
          <w:b/>
        </w:rPr>
        <w:t xml:space="preserve"> </w:t>
      </w:r>
      <w:r>
        <w:t>The RX beam peak is a property of the DUT and it can be unambiguously defined with respect a DUT-based coordinate system.</w:t>
      </w:r>
    </w:p>
    <w:p w14:paraId="0A74FF43" w14:textId="77777777" w:rsidR="00D138B9" w:rsidRDefault="00D138B9" w:rsidP="00D138B9">
      <w:r w:rsidRPr="00BD77BB">
        <w:rPr>
          <w:b/>
        </w:rPr>
        <w:t xml:space="preserve">Proposal 1: </w:t>
      </w:r>
      <w:r>
        <w:t>Allow the beam peak search results to be re-used in the same Test System in consecutive test runs when the DUT has been moved and placed back in the chamber. Consider that the effects of the re-positioning can be neglected if the TE can guarantee the difference in the DUT orientation is smaller than [TBD]°.</w:t>
      </w:r>
    </w:p>
    <w:p w14:paraId="2C8761F9" w14:textId="77777777" w:rsidR="00D138B9" w:rsidRDefault="00D138B9" w:rsidP="00D138B9">
      <w:r w:rsidRPr="00BD77BB">
        <w:rPr>
          <w:b/>
        </w:rPr>
        <w:t xml:space="preserve">Proposal </w:t>
      </w:r>
      <w:r>
        <w:rPr>
          <w:b/>
        </w:rPr>
        <w:t>2</w:t>
      </w:r>
      <w:r w:rsidRPr="00BD77BB">
        <w:rPr>
          <w:b/>
        </w:rPr>
        <w:t>:</w:t>
      </w:r>
      <w:r>
        <w:rPr>
          <w:b/>
        </w:rPr>
        <w:t xml:space="preserve"> </w:t>
      </w:r>
      <w:r w:rsidRPr="008543BB">
        <w:t>If</w:t>
      </w:r>
      <w:r>
        <w:rPr>
          <w:b/>
        </w:rPr>
        <w:t xml:space="preserve"> </w:t>
      </w:r>
      <w:r w:rsidRPr="00462C30">
        <w:t xml:space="preserve">the </w:t>
      </w:r>
      <w:r>
        <w:t>uncertainty in the DUT orientation with respect to the TE is bigger than [TBD]°, the TE shall run a procedure (e.g. a reduced RX beam peak search around the previously measured beam peak) to re-align.</w:t>
      </w:r>
    </w:p>
    <w:p w14:paraId="36CBDC67" w14:textId="77777777" w:rsidR="00D138B9" w:rsidRDefault="00D138B9" w:rsidP="00D138B9">
      <w:r w:rsidRPr="00F541D2">
        <w:rPr>
          <w:b/>
        </w:rPr>
        <w:t>Proposal 3:</w:t>
      </w:r>
      <w:r>
        <w:t xml:space="preserve"> the RX beam peak search results can be re-used between different instances of the same TE model. The TE shall run a procedure (same as in Proposal 2) to ensure the alignment of the DUT and TE.</w:t>
      </w:r>
    </w:p>
    <w:p w14:paraId="5156062B" w14:textId="77777777" w:rsidR="00D138B9" w:rsidRDefault="00D138B9" w:rsidP="00D138B9">
      <w:r w:rsidRPr="001937EF">
        <w:rPr>
          <w:b/>
        </w:rPr>
        <w:t>Proposal 4:</w:t>
      </w:r>
      <w:r>
        <w:t xml:space="preserve"> the RX beam peak search results between TE of the same permitted Test Method that have different number of antenna. The TE shall run a procedure (same as in Proposal 2) to ensure the alignment of the DUT and TE.</w:t>
      </w:r>
    </w:p>
    <w:p w14:paraId="47B72BC3" w14:textId="77777777" w:rsidR="00DD1C07" w:rsidRDefault="00DD1C07" w:rsidP="00DD1C07">
      <w:pPr>
        <w:pStyle w:val="Heading1"/>
        <w:ind w:left="567" w:hanging="567"/>
      </w:pPr>
      <w:bookmarkStart w:id="4" w:name="_GoBack"/>
      <w:bookmarkEnd w:id="4"/>
      <w:r>
        <w:t>References</w:t>
      </w:r>
    </w:p>
    <w:p w14:paraId="5F48F3F1" w14:textId="0A9C51B6" w:rsidR="00AD30C0" w:rsidRDefault="00616600" w:rsidP="00EB4750">
      <w:pPr>
        <w:numPr>
          <w:ilvl w:val="0"/>
          <w:numId w:val="5"/>
        </w:numPr>
        <w:tabs>
          <w:tab w:val="left" w:pos="426"/>
        </w:tabs>
        <w:overflowPunct w:val="0"/>
        <w:autoSpaceDE w:val="0"/>
        <w:autoSpaceDN w:val="0"/>
        <w:adjustRightInd w:val="0"/>
        <w:textAlignment w:val="baseline"/>
      </w:pPr>
      <w:r>
        <w:t>R5-196819, “AoA Direction Search for RRM Setups”, Keysight Technologies, RAN5 #84</w:t>
      </w:r>
    </w:p>
    <w:p w14:paraId="29F77475" w14:textId="00750E5A" w:rsidR="00F86A29" w:rsidRDefault="00F86A29" w:rsidP="00EB4750">
      <w:pPr>
        <w:numPr>
          <w:ilvl w:val="0"/>
          <w:numId w:val="5"/>
        </w:numPr>
        <w:tabs>
          <w:tab w:val="left" w:pos="426"/>
        </w:tabs>
        <w:overflowPunct w:val="0"/>
        <w:autoSpaceDE w:val="0"/>
        <w:autoSpaceDN w:val="0"/>
        <w:adjustRightInd w:val="0"/>
        <w:textAlignment w:val="baseline"/>
      </w:pPr>
      <w:r>
        <w:t>TR 38.810, “3GPP TSG RAN; NR; Study on test methods”</w:t>
      </w:r>
    </w:p>
    <w:p w14:paraId="25B45143" w14:textId="3F74ACB5" w:rsidR="00F86A29" w:rsidRPr="00052390" w:rsidRDefault="00F86A29" w:rsidP="00F86A29">
      <w:pPr>
        <w:numPr>
          <w:ilvl w:val="0"/>
          <w:numId w:val="5"/>
        </w:numPr>
        <w:tabs>
          <w:tab w:val="left" w:pos="426"/>
        </w:tabs>
        <w:overflowPunct w:val="0"/>
        <w:autoSpaceDE w:val="0"/>
        <w:autoSpaceDN w:val="0"/>
        <w:adjustRightInd w:val="0"/>
        <w:textAlignment w:val="baseline"/>
      </w:pPr>
      <w:r w:rsidRPr="00F86A29">
        <w:t>R4-1901360</w:t>
      </w:r>
      <w:r>
        <w:t>, “</w:t>
      </w:r>
      <w:r w:rsidRPr="00F86A29">
        <w:t>Enhancement of Positioning Guidelines</w:t>
      </w:r>
      <w:r>
        <w:t>”, Rohde &amp; Schwarz, RAN4 #90</w:t>
      </w:r>
    </w:p>
    <w:sectPr w:rsidR="00F86A29"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0EDC4" w14:textId="77777777" w:rsidR="00472448" w:rsidRDefault="00472448">
      <w:r>
        <w:separator/>
      </w:r>
    </w:p>
  </w:endnote>
  <w:endnote w:type="continuationSeparator" w:id="0">
    <w:p w14:paraId="215AC636" w14:textId="77777777" w:rsidR="00472448" w:rsidRDefault="00472448">
      <w:r>
        <w:continuationSeparator/>
      </w:r>
    </w:p>
  </w:endnote>
  <w:endnote w:type="continuationNotice" w:id="1">
    <w:p w14:paraId="7B806258" w14:textId="77777777" w:rsidR="00472448" w:rsidRDefault="004724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E2861" w14:textId="77777777" w:rsidR="00472448" w:rsidRDefault="00472448">
      <w:r>
        <w:separator/>
      </w:r>
    </w:p>
  </w:footnote>
  <w:footnote w:type="continuationSeparator" w:id="0">
    <w:p w14:paraId="2BA29563" w14:textId="77777777" w:rsidR="00472448" w:rsidRDefault="00472448">
      <w:r>
        <w:continuationSeparator/>
      </w:r>
    </w:p>
  </w:footnote>
  <w:footnote w:type="continuationNotice" w:id="1">
    <w:p w14:paraId="03FC361C" w14:textId="77777777" w:rsidR="00472448" w:rsidRDefault="004724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C43430"/>
    <w:multiLevelType w:val="hybridMultilevel"/>
    <w:tmpl w:val="ADD078AA"/>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4B52AB"/>
    <w:multiLevelType w:val="hybridMultilevel"/>
    <w:tmpl w:val="BF6C2A3A"/>
    <w:lvl w:ilvl="0" w:tplc="6F6AD44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4AD72DB"/>
    <w:multiLevelType w:val="hybridMultilevel"/>
    <w:tmpl w:val="ADAE8D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1637F23"/>
    <w:multiLevelType w:val="hybridMultilevel"/>
    <w:tmpl w:val="48323C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2"/>
  </w:num>
  <w:num w:numId="6">
    <w:abstractNumId w:val="18"/>
  </w:num>
  <w:num w:numId="7">
    <w:abstractNumId w:val="15"/>
  </w:num>
  <w:num w:numId="8">
    <w:abstractNumId w:val="9"/>
  </w:num>
  <w:num w:numId="9">
    <w:abstractNumId w:val="22"/>
  </w:num>
  <w:num w:numId="10">
    <w:abstractNumId w:val="6"/>
  </w:num>
  <w:num w:numId="11">
    <w:abstractNumId w:val="29"/>
  </w:num>
  <w:num w:numId="12">
    <w:abstractNumId w:val="13"/>
  </w:num>
  <w:num w:numId="13">
    <w:abstractNumId w:val="28"/>
  </w:num>
  <w:num w:numId="14">
    <w:abstractNumId w:val="34"/>
  </w:num>
  <w:num w:numId="15">
    <w:abstractNumId w:val="12"/>
  </w:num>
  <w:num w:numId="16">
    <w:abstractNumId w:val="33"/>
  </w:num>
  <w:num w:numId="17">
    <w:abstractNumId w:val="8"/>
  </w:num>
  <w:num w:numId="18">
    <w:abstractNumId w:val="26"/>
  </w:num>
  <w:num w:numId="19">
    <w:abstractNumId w:val="20"/>
  </w:num>
  <w:num w:numId="20">
    <w:abstractNumId w:val="27"/>
  </w:num>
  <w:num w:numId="21">
    <w:abstractNumId w:val="32"/>
  </w:num>
  <w:num w:numId="22">
    <w:abstractNumId w:val="25"/>
  </w:num>
  <w:num w:numId="23">
    <w:abstractNumId w:val="21"/>
  </w:num>
  <w:num w:numId="24">
    <w:abstractNumId w:val="10"/>
  </w:num>
  <w:num w:numId="25">
    <w:abstractNumId w:val="5"/>
  </w:num>
  <w:num w:numId="26">
    <w:abstractNumId w:val="26"/>
  </w:num>
  <w:num w:numId="27">
    <w:abstractNumId w:val="26"/>
  </w:num>
  <w:num w:numId="28">
    <w:abstractNumId w:val="26"/>
  </w:num>
  <w:num w:numId="29">
    <w:abstractNumId w:val="19"/>
  </w:num>
  <w:num w:numId="30">
    <w:abstractNumId w:val="17"/>
  </w:num>
  <w:num w:numId="31">
    <w:abstractNumId w:val="37"/>
  </w:num>
  <w:num w:numId="32">
    <w:abstractNumId w:val="31"/>
  </w:num>
  <w:num w:numId="33">
    <w:abstractNumId w:val="36"/>
  </w:num>
  <w:num w:numId="34">
    <w:abstractNumId w:val="16"/>
  </w:num>
  <w:num w:numId="35">
    <w:abstractNumId w:val="7"/>
  </w:num>
  <w:num w:numId="36">
    <w:abstractNumId w:val="1"/>
  </w:num>
  <w:num w:numId="37">
    <w:abstractNumId w:val="30"/>
  </w:num>
  <w:num w:numId="38">
    <w:abstractNumId w:val="14"/>
  </w:num>
  <w:num w:numId="39">
    <w:abstractNumId w:val="4"/>
  </w:num>
  <w:num w:numId="40">
    <w:abstractNumId w:val="24"/>
  </w:num>
  <w:num w:numId="41">
    <w:abstractNumId w:val="23"/>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4D0"/>
    <w:rsid w:val="00006800"/>
    <w:rsid w:val="000078E2"/>
    <w:rsid w:val="00011F6E"/>
    <w:rsid w:val="000136CE"/>
    <w:rsid w:val="0001502B"/>
    <w:rsid w:val="00015416"/>
    <w:rsid w:val="00015E33"/>
    <w:rsid w:val="000162DA"/>
    <w:rsid w:val="00017A04"/>
    <w:rsid w:val="00017C05"/>
    <w:rsid w:val="000200FB"/>
    <w:rsid w:val="0002191D"/>
    <w:rsid w:val="000262D5"/>
    <w:rsid w:val="000266A0"/>
    <w:rsid w:val="00026A7D"/>
    <w:rsid w:val="00031C1D"/>
    <w:rsid w:val="00032F36"/>
    <w:rsid w:val="00036046"/>
    <w:rsid w:val="00036AF0"/>
    <w:rsid w:val="000379D6"/>
    <w:rsid w:val="000439E6"/>
    <w:rsid w:val="0004477C"/>
    <w:rsid w:val="0004678D"/>
    <w:rsid w:val="00050E41"/>
    <w:rsid w:val="00052390"/>
    <w:rsid w:val="000547AB"/>
    <w:rsid w:val="0005509D"/>
    <w:rsid w:val="00055873"/>
    <w:rsid w:val="00056560"/>
    <w:rsid w:val="0005725C"/>
    <w:rsid w:val="000606FD"/>
    <w:rsid w:val="00064500"/>
    <w:rsid w:val="0007068C"/>
    <w:rsid w:val="00077333"/>
    <w:rsid w:val="00082566"/>
    <w:rsid w:val="0008274B"/>
    <w:rsid w:val="00083540"/>
    <w:rsid w:val="00084983"/>
    <w:rsid w:val="00087F53"/>
    <w:rsid w:val="00093E7E"/>
    <w:rsid w:val="00094270"/>
    <w:rsid w:val="00096E57"/>
    <w:rsid w:val="00096EE4"/>
    <w:rsid w:val="000A12C7"/>
    <w:rsid w:val="000A2A86"/>
    <w:rsid w:val="000A43B4"/>
    <w:rsid w:val="000B1A40"/>
    <w:rsid w:val="000B25D3"/>
    <w:rsid w:val="000C2440"/>
    <w:rsid w:val="000C3463"/>
    <w:rsid w:val="000C640F"/>
    <w:rsid w:val="000D39C6"/>
    <w:rsid w:val="000D4F3E"/>
    <w:rsid w:val="000D5DBF"/>
    <w:rsid w:val="000D6241"/>
    <w:rsid w:val="000D6B69"/>
    <w:rsid w:val="000D6CFC"/>
    <w:rsid w:val="000E24A4"/>
    <w:rsid w:val="000E51DB"/>
    <w:rsid w:val="00101479"/>
    <w:rsid w:val="00103914"/>
    <w:rsid w:val="00114DB9"/>
    <w:rsid w:val="001174D8"/>
    <w:rsid w:val="00120F65"/>
    <w:rsid w:val="00121323"/>
    <w:rsid w:val="00122845"/>
    <w:rsid w:val="00124141"/>
    <w:rsid w:val="001257B2"/>
    <w:rsid w:val="001258E2"/>
    <w:rsid w:val="0013001E"/>
    <w:rsid w:val="0013086B"/>
    <w:rsid w:val="00130A4D"/>
    <w:rsid w:val="0013746A"/>
    <w:rsid w:val="0014005E"/>
    <w:rsid w:val="00140084"/>
    <w:rsid w:val="0014206F"/>
    <w:rsid w:val="001423A1"/>
    <w:rsid w:val="00142A64"/>
    <w:rsid w:val="001430FC"/>
    <w:rsid w:val="001458A3"/>
    <w:rsid w:val="00150099"/>
    <w:rsid w:val="001505EB"/>
    <w:rsid w:val="00152172"/>
    <w:rsid w:val="00153528"/>
    <w:rsid w:val="00157AD8"/>
    <w:rsid w:val="00166A36"/>
    <w:rsid w:val="001741AE"/>
    <w:rsid w:val="001758FB"/>
    <w:rsid w:val="00184031"/>
    <w:rsid w:val="00185180"/>
    <w:rsid w:val="0018626B"/>
    <w:rsid w:val="001913DC"/>
    <w:rsid w:val="001937EF"/>
    <w:rsid w:val="00196F9F"/>
    <w:rsid w:val="001A08AA"/>
    <w:rsid w:val="001A17A5"/>
    <w:rsid w:val="001A2BC5"/>
    <w:rsid w:val="001A2EF9"/>
    <w:rsid w:val="001A3120"/>
    <w:rsid w:val="001A3BFA"/>
    <w:rsid w:val="001B044F"/>
    <w:rsid w:val="001B2108"/>
    <w:rsid w:val="001B231F"/>
    <w:rsid w:val="001B6A72"/>
    <w:rsid w:val="001C00AA"/>
    <w:rsid w:val="001C0CFD"/>
    <w:rsid w:val="001C3A35"/>
    <w:rsid w:val="001C3CCB"/>
    <w:rsid w:val="001C4A15"/>
    <w:rsid w:val="001C687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23E6"/>
    <w:rsid w:val="002138EA"/>
    <w:rsid w:val="00214FBD"/>
    <w:rsid w:val="00222897"/>
    <w:rsid w:val="0022419C"/>
    <w:rsid w:val="00233482"/>
    <w:rsid w:val="00234D1C"/>
    <w:rsid w:val="00235394"/>
    <w:rsid w:val="00235813"/>
    <w:rsid w:val="00236683"/>
    <w:rsid w:val="0023752C"/>
    <w:rsid w:val="00241A14"/>
    <w:rsid w:val="0025114C"/>
    <w:rsid w:val="00251340"/>
    <w:rsid w:val="00252AEA"/>
    <w:rsid w:val="00252B7B"/>
    <w:rsid w:val="00254246"/>
    <w:rsid w:val="00255905"/>
    <w:rsid w:val="0026179F"/>
    <w:rsid w:val="00262600"/>
    <w:rsid w:val="00262A89"/>
    <w:rsid w:val="0026391C"/>
    <w:rsid w:val="002667C1"/>
    <w:rsid w:val="00266C6B"/>
    <w:rsid w:val="0026709E"/>
    <w:rsid w:val="00267CC7"/>
    <w:rsid w:val="002741DA"/>
    <w:rsid w:val="002748A2"/>
    <w:rsid w:val="00274984"/>
    <w:rsid w:val="00274E1A"/>
    <w:rsid w:val="0027758E"/>
    <w:rsid w:val="00277A09"/>
    <w:rsid w:val="00280627"/>
    <w:rsid w:val="00282213"/>
    <w:rsid w:val="002872C1"/>
    <w:rsid w:val="00287895"/>
    <w:rsid w:val="00287C09"/>
    <w:rsid w:val="0029076F"/>
    <w:rsid w:val="0029245F"/>
    <w:rsid w:val="00292A6F"/>
    <w:rsid w:val="00293732"/>
    <w:rsid w:val="00296B9F"/>
    <w:rsid w:val="002A4112"/>
    <w:rsid w:val="002A7017"/>
    <w:rsid w:val="002A7F4B"/>
    <w:rsid w:val="002B11F7"/>
    <w:rsid w:val="002B3F06"/>
    <w:rsid w:val="002B4D62"/>
    <w:rsid w:val="002C1CA3"/>
    <w:rsid w:val="002C1E1B"/>
    <w:rsid w:val="002C2040"/>
    <w:rsid w:val="002C7D13"/>
    <w:rsid w:val="002D0D61"/>
    <w:rsid w:val="002D44BD"/>
    <w:rsid w:val="002D69EF"/>
    <w:rsid w:val="002E465A"/>
    <w:rsid w:val="002E47F7"/>
    <w:rsid w:val="002E5F31"/>
    <w:rsid w:val="002F4093"/>
    <w:rsid w:val="002F5FAD"/>
    <w:rsid w:val="00300544"/>
    <w:rsid w:val="003043A6"/>
    <w:rsid w:val="00306D8E"/>
    <w:rsid w:val="00307D2C"/>
    <w:rsid w:val="00313528"/>
    <w:rsid w:val="003153F7"/>
    <w:rsid w:val="00315E5F"/>
    <w:rsid w:val="003209E5"/>
    <w:rsid w:val="00324F35"/>
    <w:rsid w:val="00326CFF"/>
    <w:rsid w:val="00331E19"/>
    <w:rsid w:val="00332820"/>
    <w:rsid w:val="003340C5"/>
    <w:rsid w:val="0033593B"/>
    <w:rsid w:val="00344657"/>
    <w:rsid w:val="00344BCD"/>
    <w:rsid w:val="003450DD"/>
    <w:rsid w:val="00347574"/>
    <w:rsid w:val="003510B6"/>
    <w:rsid w:val="00353724"/>
    <w:rsid w:val="00353E42"/>
    <w:rsid w:val="00364734"/>
    <w:rsid w:val="00364DC7"/>
    <w:rsid w:val="00365EF7"/>
    <w:rsid w:val="00366F9B"/>
    <w:rsid w:val="00367724"/>
    <w:rsid w:val="003679B5"/>
    <w:rsid w:val="00371A3B"/>
    <w:rsid w:val="00373148"/>
    <w:rsid w:val="00374836"/>
    <w:rsid w:val="00380C5B"/>
    <w:rsid w:val="00380F33"/>
    <w:rsid w:val="00381C22"/>
    <w:rsid w:val="003834B0"/>
    <w:rsid w:val="00384387"/>
    <w:rsid w:val="003907E3"/>
    <w:rsid w:val="0039361E"/>
    <w:rsid w:val="0039509E"/>
    <w:rsid w:val="00397CC0"/>
    <w:rsid w:val="00397FBD"/>
    <w:rsid w:val="003A1A50"/>
    <w:rsid w:val="003A1E08"/>
    <w:rsid w:val="003A6281"/>
    <w:rsid w:val="003B1087"/>
    <w:rsid w:val="003B1AA0"/>
    <w:rsid w:val="003B478A"/>
    <w:rsid w:val="003B5AB0"/>
    <w:rsid w:val="003B60F8"/>
    <w:rsid w:val="003B7351"/>
    <w:rsid w:val="003C05A2"/>
    <w:rsid w:val="003C4291"/>
    <w:rsid w:val="003C4702"/>
    <w:rsid w:val="003C47CE"/>
    <w:rsid w:val="003D1D54"/>
    <w:rsid w:val="003D2C79"/>
    <w:rsid w:val="003D5D10"/>
    <w:rsid w:val="003D7CEB"/>
    <w:rsid w:val="003E300F"/>
    <w:rsid w:val="003E39F0"/>
    <w:rsid w:val="003E3F2D"/>
    <w:rsid w:val="003E414C"/>
    <w:rsid w:val="003E53C8"/>
    <w:rsid w:val="003E567C"/>
    <w:rsid w:val="003E6A73"/>
    <w:rsid w:val="003E7F45"/>
    <w:rsid w:val="003F0282"/>
    <w:rsid w:val="003F1AEA"/>
    <w:rsid w:val="003F1D13"/>
    <w:rsid w:val="003F6395"/>
    <w:rsid w:val="003F6FF1"/>
    <w:rsid w:val="004006F6"/>
    <w:rsid w:val="0040097C"/>
    <w:rsid w:val="0040139E"/>
    <w:rsid w:val="004026D0"/>
    <w:rsid w:val="00404364"/>
    <w:rsid w:val="004048A9"/>
    <w:rsid w:val="00411C06"/>
    <w:rsid w:val="00413C3E"/>
    <w:rsid w:val="00413C6C"/>
    <w:rsid w:val="0041477A"/>
    <w:rsid w:val="00417068"/>
    <w:rsid w:val="004204BB"/>
    <w:rsid w:val="00420AD5"/>
    <w:rsid w:val="00420B0E"/>
    <w:rsid w:val="00424AAB"/>
    <w:rsid w:val="00424EF6"/>
    <w:rsid w:val="00426356"/>
    <w:rsid w:val="00427B4E"/>
    <w:rsid w:val="00431287"/>
    <w:rsid w:val="004420B4"/>
    <w:rsid w:val="00444225"/>
    <w:rsid w:val="0045417F"/>
    <w:rsid w:val="00456C09"/>
    <w:rsid w:val="0046266D"/>
    <w:rsid w:val="00462C30"/>
    <w:rsid w:val="00466E59"/>
    <w:rsid w:val="004701D2"/>
    <w:rsid w:val="00470E49"/>
    <w:rsid w:val="00471B36"/>
    <w:rsid w:val="00472448"/>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A6D88"/>
    <w:rsid w:val="004B27EC"/>
    <w:rsid w:val="004B7FBE"/>
    <w:rsid w:val="004C1838"/>
    <w:rsid w:val="004C2A16"/>
    <w:rsid w:val="004C79D1"/>
    <w:rsid w:val="004D0FD5"/>
    <w:rsid w:val="004D5AE5"/>
    <w:rsid w:val="004E2B50"/>
    <w:rsid w:val="004F003E"/>
    <w:rsid w:val="004F04E8"/>
    <w:rsid w:val="004F08C5"/>
    <w:rsid w:val="004F374D"/>
    <w:rsid w:val="004F3D34"/>
    <w:rsid w:val="004F3E0E"/>
    <w:rsid w:val="004F3EB5"/>
    <w:rsid w:val="004F4682"/>
    <w:rsid w:val="004F554E"/>
    <w:rsid w:val="004F7A3D"/>
    <w:rsid w:val="004F7C82"/>
    <w:rsid w:val="005005F3"/>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6C92"/>
    <w:rsid w:val="005471FE"/>
    <w:rsid w:val="00547986"/>
    <w:rsid w:val="00553EEF"/>
    <w:rsid w:val="00554A16"/>
    <w:rsid w:val="005550DD"/>
    <w:rsid w:val="00556E49"/>
    <w:rsid w:val="005603F5"/>
    <w:rsid w:val="005649A1"/>
    <w:rsid w:val="00566838"/>
    <w:rsid w:val="0057544C"/>
    <w:rsid w:val="00580542"/>
    <w:rsid w:val="00580587"/>
    <w:rsid w:val="00581E88"/>
    <w:rsid w:val="0058392F"/>
    <w:rsid w:val="00585B23"/>
    <w:rsid w:val="005908D2"/>
    <w:rsid w:val="00591484"/>
    <w:rsid w:val="00592F28"/>
    <w:rsid w:val="00593B56"/>
    <w:rsid w:val="005943B2"/>
    <w:rsid w:val="00595618"/>
    <w:rsid w:val="005A0EDD"/>
    <w:rsid w:val="005A329A"/>
    <w:rsid w:val="005A616F"/>
    <w:rsid w:val="005A6ABC"/>
    <w:rsid w:val="005A6F48"/>
    <w:rsid w:val="005B610D"/>
    <w:rsid w:val="005B61BE"/>
    <w:rsid w:val="005C239F"/>
    <w:rsid w:val="005C3275"/>
    <w:rsid w:val="005C331B"/>
    <w:rsid w:val="005C4593"/>
    <w:rsid w:val="005D61D3"/>
    <w:rsid w:val="005E12CD"/>
    <w:rsid w:val="005E20B7"/>
    <w:rsid w:val="005E2985"/>
    <w:rsid w:val="005E5358"/>
    <w:rsid w:val="005E5D66"/>
    <w:rsid w:val="005E7C64"/>
    <w:rsid w:val="005F3B1B"/>
    <w:rsid w:val="00607D98"/>
    <w:rsid w:val="0061059A"/>
    <w:rsid w:val="006126CA"/>
    <w:rsid w:val="006131BB"/>
    <w:rsid w:val="00613B1E"/>
    <w:rsid w:val="00616600"/>
    <w:rsid w:val="00616FB0"/>
    <w:rsid w:val="00620D0A"/>
    <w:rsid w:val="006210C4"/>
    <w:rsid w:val="00622B32"/>
    <w:rsid w:val="00623A7A"/>
    <w:rsid w:val="006241AA"/>
    <w:rsid w:val="00634928"/>
    <w:rsid w:val="00635671"/>
    <w:rsid w:val="00636ABD"/>
    <w:rsid w:val="0064075B"/>
    <w:rsid w:val="00643130"/>
    <w:rsid w:val="00645857"/>
    <w:rsid w:val="00651C2B"/>
    <w:rsid w:val="006537BF"/>
    <w:rsid w:val="00653DF0"/>
    <w:rsid w:val="006543EF"/>
    <w:rsid w:val="0065492A"/>
    <w:rsid w:val="00654D11"/>
    <w:rsid w:val="00656A7B"/>
    <w:rsid w:val="00662B95"/>
    <w:rsid w:val="00665AD3"/>
    <w:rsid w:val="00683EDA"/>
    <w:rsid w:val="006856E5"/>
    <w:rsid w:val="006937D0"/>
    <w:rsid w:val="00695755"/>
    <w:rsid w:val="00696BE5"/>
    <w:rsid w:val="00696D0A"/>
    <w:rsid w:val="006974B7"/>
    <w:rsid w:val="006A03F3"/>
    <w:rsid w:val="006A5A2A"/>
    <w:rsid w:val="006A5ED0"/>
    <w:rsid w:val="006B03F1"/>
    <w:rsid w:val="006B0D02"/>
    <w:rsid w:val="006B1C2F"/>
    <w:rsid w:val="006B363D"/>
    <w:rsid w:val="006B39EF"/>
    <w:rsid w:val="006B739B"/>
    <w:rsid w:val="006C3A94"/>
    <w:rsid w:val="006C6374"/>
    <w:rsid w:val="006D132D"/>
    <w:rsid w:val="006D6B1F"/>
    <w:rsid w:val="006D7FD4"/>
    <w:rsid w:val="006E3888"/>
    <w:rsid w:val="006E45D9"/>
    <w:rsid w:val="006F0D5F"/>
    <w:rsid w:val="006F1DCF"/>
    <w:rsid w:val="006F4830"/>
    <w:rsid w:val="006F4A1A"/>
    <w:rsid w:val="006F5431"/>
    <w:rsid w:val="006F563D"/>
    <w:rsid w:val="006F5C22"/>
    <w:rsid w:val="006F5F84"/>
    <w:rsid w:val="006F6B0D"/>
    <w:rsid w:val="00700488"/>
    <w:rsid w:val="00703F5D"/>
    <w:rsid w:val="00705FF6"/>
    <w:rsid w:val="0070646B"/>
    <w:rsid w:val="007066FA"/>
    <w:rsid w:val="00707941"/>
    <w:rsid w:val="00707CE7"/>
    <w:rsid w:val="0071466D"/>
    <w:rsid w:val="00714DD6"/>
    <w:rsid w:val="007162EF"/>
    <w:rsid w:val="007168EE"/>
    <w:rsid w:val="00720148"/>
    <w:rsid w:val="00720AC9"/>
    <w:rsid w:val="007250C2"/>
    <w:rsid w:val="0072569B"/>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189B"/>
    <w:rsid w:val="007528DE"/>
    <w:rsid w:val="00752FA3"/>
    <w:rsid w:val="007615E0"/>
    <w:rsid w:val="00770A12"/>
    <w:rsid w:val="00774B17"/>
    <w:rsid w:val="007756A1"/>
    <w:rsid w:val="0078032C"/>
    <w:rsid w:val="0078088D"/>
    <w:rsid w:val="00784DE1"/>
    <w:rsid w:val="00785759"/>
    <w:rsid w:val="00785D03"/>
    <w:rsid w:val="007927CF"/>
    <w:rsid w:val="00797994"/>
    <w:rsid w:val="007A1199"/>
    <w:rsid w:val="007A2502"/>
    <w:rsid w:val="007A4551"/>
    <w:rsid w:val="007A4F68"/>
    <w:rsid w:val="007A5139"/>
    <w:rsid w:val="007A5243"/>
    <w:rsid w:val="007A6059"/>
    <w:rsid w:val="007B03C6"/>
    <w:rsid w:val="007B0584"/>
    <w:rsid w:val="007B0B0F"/>
    <w:rsid w:val="007B5856"/>
    <w:rsid w:val="007B6FFB"/>
    <w:rsid w:val="007C6DD8"/>
    <w:rsid w:val="007D0054"/>
    <w:rsid w:val="007D258B"/>
    <w:rsid w:val="007D36D3"/>
    <w:rsid w:val="007D3BE3"/>
    <w:rsid w:val="007D6048"/>
    <w:rsid w:val="007E2E0D"/>
    <w:rsid w:val="007E7938"/>
    <w:rsid w:val="007F053C"/>
    <w:rsid w:val="007F0E1E"/>
    <w:rsid w:val="007F0E21"/>
    <w:rsid w:val="007F1535"/>
    <w:rsid w:val="007F39D0"/>
    <w:rsid w:val="007F4B80"/>
    <w:rsid w:val="007F4CAF"/>
    <w:rsid w:val="007F4CCC"/>
    <w:rsid w:val="007F5B12"/>
    <w:rsid w:val="007F62EA"/>
    <w:rsid w:val="007F7064"/>
    <w:rsid w:val="007F7A1F"/>
    <w:rsid w:val="00803E82"/>
    <w:rsid w:val="00804709"/>
    <w:rsid w:val="00807F76"/>
    <w:rsid w:val="008142CC"/>
    <w:rsid w:val="00816C9D"/>
    <w:rsid w:val="0082190B"/>
    <w:rsid w:val="00826B31"/>
    <w:rsid w:val="008278A2"/>
    <w:rsid w:val="00830BED"/>
    <w:rsid w:val="00833A53"/>
    <w:rsid w:val="00836C44"/>
    <w:rsid w:val="0083754E"/>
    <w:rsid w:val="00837660"/>
    <w:rsid w:val="00840A11"/>
    <w:rsid w:val="008450F8"/>
    <w:rsid w:val="00845E55"/>
    <w:rsid w:val="00846391"/>
    <w:rsid w:val="008541B3"/>
    <w:rsid w:val="008543BB"/>
    <w:rsid w:val="008602F7"/>
    <w:rsid w:val="00861C5F"/>
    <w:rsid w:val="008626D8"/>
    <w:rsid w:val="00863628"/>
    <w:rsid w:val="00864950"/>
    <w:rsid w:val="00870861"/>
    <w:rsid w:val="0087106E"/>
    <w:rsid w:val="00884743"/>
    <w:rsid w:val="00884BE6"/>
    <w:rsid w:val="0088503C"/>
    <w:rsid w:val="00885D92"/>
    <w:rsid w:val="00892723"/>
    <w:rsid w:val="00893454"/>
    <w:rsid w:val="00895D05"/>
    <w:rsid w:val="00897A25"/>
    <w:rsid w:val="008A0A78"/>
    <w:rsid w:val="008A1A84"/>
    <w:rsid w:val="008A6143"/>
    <w:rsid w:val="008B0529"/>
    <w:rsid w:val="008B34CA"/>
    <w:rsid w:val="008B5C74"/>
    <w:rsid w:val="008C2308"/>
    <w:rsid w:val="008C5E61"/>
    <w:rsid w:val="008C60E9"/>
    <w:rsid w:val="008C7836"/>
    <w:rsid w:val="008C7E62"/>
    <w:rsid w:val="008D7BED"/>
    <w:rsid w:val="008E4413"/>
    <w:rsid w:val="008E4684"/>
    <w:rsid w:val="008E4F84"/>
    <w:rsid w:val="008F08D9"/>
    <w:rsid w:val="008F1346"/>
    <w:rsid w:val="008F540C"/>
    <w:rsid w:val="008F6E18"/>
    <w:rsid w:val="008F7D93"/>
    <w:rsid w:val="009008D2"/>
    <w:rsid w:val="00900F93"/>
    <w:rsid w:val="0090512F"/>
    <w:rsid w:val="0090524D"/>
    <w:rsid w:val="009064E9"/>
    <w:rsid w:val="00907071"/>
    <w:rsid w:val="009076E4"/>
    <w:rsid w:val="00911B1A"/>
    <w:rsid w:val="00916F35"/>
    <w:rsid w:val="00920B92"/>
    <w:rsid w:val="00925B2A"/>
    <w:rsid w:val="00931702"/>
    <w:rsid w:val="00931918"/>
    <w:rsid w:val="00932A4D"/>
    <w:rsid w:val="00932F29"/>
    <w:rsid w:val="00937FBD"/>
    <w:rsid w:val="009401E6"/>
    <w:rsid w:val="00941243"/>
    <w:rsid w:val="00945858"/>
    <w:rsid w:val="009514EA"/>
    <w:rsid w:val="00951CC5"/>
    <w:rsid w:val="00952F41"/>
    <w:rsid w:val="0095378B"/>
    <w:rsid w:val="0095392E"/>
    <w:rsid w:val="00957EF1"/>
    <w:rsid w:val="00964105"/>
    <w:rsid w:val="00970A06"/>
    <w:rsid w:val="0097133C"/>
    <w:rsid w:val="00972528"/>
    <w:rsid w:val="00973450"/>
    <w:rsid w:val="0097539D"/>
    <w:rsid w:val="009767AC"/>
    <w:rsid w:val="00980E79"/>
    <w:rsid w:val="00982B7E"/>
    <w:rsid w:val="00983910"/>
    <w:rsid w:val="00984E5F"/>
    <w:rsid w:val="009913F6"/>
    <w:rsid w:val="00992B5F"/>
    <w:rsid w:val="00997D88"/>
    <w:rsid w:val="009B2CAC"/>
    <w:rsid w:val="009C0727"/>
    <w:rsid w:val="009C6214"/>
    <w:rsid w:val="009D28E0"/>
    <w:rsid w:val="009D78C2"/>
    <w:rsid w:val="009D7F67"/>
    <w:rsid w:val="009E186C"/>
    <w:rsid w:val="009E3840"/>
    <w:rsid w:val="009E41C5"/>
    <w:rsid w:val="009E448E"/>
    <w:rsid w:val="009E520A"/>
    <w:rsid w:val="009E7AFD"/>
    <w:rsid w:val="009F20D3"/>
    <w:rsid w:val="00A03A5C"/>
    <w:rsid w:val="00A079A7"/>
    <w:rsid w:val="00A165D9"/>
    <w:rsid w:val="00A17573"/>
    <w:rsid w:val="00A210B9"/>
    <w:rsid w:val="00A22FB6"/>
    <w:rsid w:val="00A2310D"/>
    <w:rsid w:val="00A25AEB"/>
    <w:rsid w:val="00A277B2"/>
    <w:rsid w:val="00A313BC"/>
    <w:rsid w:val="00A320FB"/>
    <w:rsid w:val="00A33ED7"/>
    <w:rsid w:val="00A3540D"/>
    <w:rsid w:val="00A41972"/>
    <w:rsid w:val="00A446A0"/>
    <w:rsid w:val="00A4504D"/>
    <w:rsid w:val="00A452C2"/>
    <w:rsid w:val="00A45E4D"/>
    <w:rsid w:val="00A46593"/>
    <w:rsid w:val="00A515A6"/>
    <w:rsid w:val="00A51F25"/>
    <w:rsid w:val="00A56613"/>
    <w:rsid w:val="00A574AF"/>
    <w:rsid w:val="00A57698"/>
    <w:rsid w:val="00A60D06"/>
    <w:rsid w:val="00A61E17"/>
    <w:rsid w:val="00A64399"/>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5E73"/>
    <w:rsid w:val="00A97B7D"/>
    <w:rsid w:val="00A97CB6"/>
    <w:rsid w:val="00AA0A82"/>
    <w:rsid w:val="00AA28BF"/>
    <w:rsid w:val="00AA2CF6"/>
    <w:rsid w:val="00AA3D6A"/>
    <w:rsid w:val="00AA42AF"/>
    <w:rsid w:val="00AA69E4"/>
    <w:rsid w:val="00AA7233"/>
    <w:rsid w:val="00AB0C5E"/>
    <w:rsid w:val="00AB25ED"/>
    <w:rsid w:val="00AB32B3"/>
    <w:rsid w:val="00AB3F85"/>
    <w:rsid w:val="00AB4AC5"/>
    <w:rsid w:val="00AC6E03"/>
    <w:rsid w:val="00AD17B1"/>
    <w:rsid w:val="00AD30C0"/>
    <w:rsid w:val="00AD4B9B"/>
    <w:rsid w:val="00AD768A"/>
    <w:rsid w:val="00AE116C"/>
    <w:rsid w:val="00AE342A"/>
    <w:rsid w:val="00AE5379"/>
    <w:rsid w:val="00AE627B"/>
    <w:rsid w:val="00AE6EAF"/>
    <w:rsid w:val="00AF0F4C"/>
    <w:rsid w:val="00AF3407"/>
    <w:rsid w:val="00AF5AD3"/>
    <w:rsid w:val="00B0589A"/>
    <w:rsid w:val="00B129FF"/>
    <w:rsid w:val="00B14BC8"/>
    <w:rsid w:val="00B20C57"/>
    <w:rsid w:val="00B21D87"/>
    <w:rsid w:val="00B22ADA"/>
    <w:rsid w:val="00B22BDB"/>
    <w:rsid w:val="00B24E76"/>
    <w:rsid w:val="00B334B9"/>
    <w:rsid w:val="00B36208"/>
    <w:rsid w:val="00B3769C"/>
    <w:rsid w:val="00B4062A"/>
    <w:rsid w:val="00B40D30"/>
    <w:rsid w:val="00B426E8"/>
    <w:rsid w:val="00B42B91"/>
    <w:rsid w:val="00B468EE"/>
    <w:rsid w:val="00B478AC"/>
    <w:rsid w:val="00B52B53"/>
    <w:rsid w:val="00B55A37"/>
    <w:rsid w:val="00B55D9A"/>
    <w:rsid w:val="00B5661F"/>
    <w:rsid w:val="00B6099D"/>
    <w:rsid w:val="00B62514"/>
    <w:rsid w:val="00B65101"/>
    <w:rsid w:val="00B655E4"/>
    <w:rsid w:val="00B7370C"/>
    <w:rsid w:val="00B73955"/>
    <w:rsid w:val="00B75741"/>
    <w:rsid w:val="00B75B4D"/>
    <w:rsid w:val="00B822A0"/>
    <w:rsid w:val="00B8446C"/>
    <w:rsid w:val="00B92920"/>
    <w:rsid w:val="00B93A4D"/>
    <w:rsid w:val="00B943D6"/>
    <w:rsid w:val="00BA0D2D"/>
    <w:rsid w:val="00BA47FD"/>
    <w:rsid w:val="00BA5EFD"/>
    <w:rsid w:val="00BB2B4D"/>
    <w:rsid w:val="00BB4346"/>
    <w:rsid w:val="00BB43B8"/>
    <w:rsid w:val="00BB53AC"/>
    <w:rsid w:val="00BB684C"/>
    <w:rsid w:val="00BB7338"/>
    <w:rsid w:val="00BC2D24"/>
    <w:rsid w:val="00BC577A"/>
    <w:rsid w:val="00BD0905"/>
    <w:rsid w:val="00BD455F"/>
    <w:rsid w:val="00BD707B"/>
    <w:rsid w:val="00BD77BB"/>
    <w:rsid w:val="00BE0187"/>
    <w:rsid w:val="00BE1212"/>
    <w:rsid w:val="00BE1A05"/>
    <w:rsid w:val="00BE3D23"/>
    <w:rsid w:val="00BE5CA5"/>
    <w:rsid w:val="00BE5CB9"/>
    <w:rsid w:val="00BF5875"/>
    <w:rsid w:val="00C00378"/>
    <w:rsid w:val="00C01AD5"/>
    <w:rsid w:val="00C01D4A"/>
    <w:rsid w:val="00C050BC"/>
    <w:rsid w:val="00C050CF"/>
    <w:rsid w:val="00C06487"/>
    <w:rsid w:val="00C065DE"/>
    <w:rsid w:val="00C1494B"/>
    <w:rsid w:val="00C14D51"/>
    <w:rsid w:val="00C14DE6"/>
    <w:rsid w:val="00C15AC6"/>
    <w:rsid w:val="00C16052"/>
    <w:rsid w:val="00C1643C"/>
    <w:rsid w:val="00C209B5"/>
    <w:rsid w:val="00C26EE8"/>
    <w:rsid w:val="00C313B8"/>
    <w:rsid w:val="00C31D69"/>
    <w:rsid w:val="00C401B8"/>
    <w:rsid w:val="00C42F12"/>
    <w:rsid w:val="00C451D8"/>
    <w:rsid w:val="00C46CE1"/>
    <w:rsid w:val="00C475DA"/>
    <w:rsid w:val="00C50228"/>
    <w:rsid w:val="00C55879"/>
    <w:rsid w:val="00C56792"/>
    <w:rsid w:val="00C6278C"/>
    <w:rsid w:val="00C63AA2"/>
    <w:rsid w:val="00C65422"/>
    <w:rsid w:val="00C6599B"/>
    <w:rsid w:val="00C76F04"/>
    <w:rsid w:val="00C773D0"/>
    <w:rsid w:val="00C804C3"/>
    <w:rsid w:val="00C807DB"/>
    <w:rsid w:val="00C81268"/>
    <w:rsid w:val="00C83771"/>
    <w:rsid w:val="00C87851"/>
    <w:rsid w:val="00C87974"/>
    <w:rsid w:val="00C9049C"/>
    <w:rsid w:val="00C93744"/>
    <w:rsid w:val="00C958F3"/>
    <w:rsid w:val="00CA3A27"/>
    <w:rsid w:val="00CA517A"/>
    <w:rsid w:val="00CA6011"/>
    <w:rsid w:val="00CB0D58"/>
    <w:rsid w:val="00CB29E4"/>
    <w:rsid w:val="00CB303B"/>
    <w:rsid w:val="00CB5BF2"/>
    <w:rsid w:val="00CC15A4"/>
    <w:rsid w:val="00CC28A9"/>
    <w:rsid w:val="00CC6580"/>
    <w:rsid w:val="00CC6FE0"/>
    <w:rsid w:val="00CE0386"/>
    <w:rsid w:val="00CF0031"/>
    <w:rsid w:val="00CF0C99"/>
    <w:rsid w:val="00CF46D3"/>
    <w:rsid w:val="00CF61F2"/>
    <w:rsid w:val="00D0047E"/>
    <w:rsid w:val="00D03BCC"/>
    <w:rsid w:val="00D06FFA"/>
    <w:rsid w:val="00D076FD"/>
    <w:rsid w:val="00D1118A"/>
    <w:rsid w:val="00D12CB8"/>
    <w:rsid w:val="00D138B9"/>
    <w:rsid w:val="00D157A4"/>
    <w:rsid w:val="00D16315"/>
    <w:rsid w:val="00D16CE2"/>
    <w:rsid w:val="00D21245"/>
    <w:rsid w:val="00D21C9F"/>
    <w:rsid w:val="00D22BEB"/>
    <w:rsid w:val="00D26BF2"/>
    <w:rsid w:val="00D33C1E"/>
    <w:rsid w:val="00D37444"/>
    <w:rsid w:val="00D37A5A"/>
    <w:rsid w:val="00D402C2"/>
    <w:rsid w:val="00D45EB6"/>
    <w:rsid w:val="00D51BCF"/>
    <w:rsid w:val="00D520E4"/>
    <w:rsid w:val="00D54860"/>
    <w:rsid w:val="00D54AA0"/>
    <w:rsid w:val="00D54F08"/>
    <w:rsid w:val="00D55B87"/>
    <w:rsid w:val="00D567FB"/>
    <w:rsid w:val="00D57DFA"/>
    <w:rsid w:val="00D6215E"/>
    <w:rsid w:val="00D70DBC"/>
    <w:rsid w:val="00D7306B"/>
    <w:rsid w:val="00D73201"/>
    <w:rsid w:val="00D73647"/>
    <w:rsid w:val="00D73D67"/>
    <w:rsid w:val="00D82520"/>
    <w:rsid w:val="00D8307F"/>
    <w:rsid w:val="00D8465F"/>
    <w:rsid w:val="00D85B5D"/>
    <w:rsid w:val="00D90F93"/>
    <w:rsid w:val="00D91F54"/>
    <w:rsid w:val="00D93835"/>
    <w:rsid w:val="00D93AE3"/>
    <w:rsid w:val="00D9442D"/>
    <w:rsid w:val="00D94F8B"/>
    <w:rsid w:val="00D95235"/>
    <w:rsid w:val="00D95BA3"/>
    <w:rsid w:val="00D9763F"/>
    <w:rsid w:val="00DA66C3"/>
    <w:rsid w:val="00DB3F86"/>
    <w:rsid w:val="00DB5E7F"/>
    <w:rsid w:val="00DC176A"/>
    <w:rsid w:val="00DD0C2C"/>
    <w:rsid w:val="00DD0F6E"/>
    <w:rsid w:val="00DD1C07"/>
    <w:rsid w:val="00DD4BF9"/>
    <w:rsid w:val="00DE0E3E"/>
    <w:rsid w:val="00DE2633"/>
    <w:rsid w:val="00DE43DA"/>
    <w:rsid w:val="00DE787F"/>
    <w:rsid w:val="00DF01A8"/>
    <w:rsid w:val="00DF09C3"/>
    <w:rsid w:val="00DF1AE6"/>
    <w:rsid w:val="00DF5DE5"/>
    <w:rsid w:val="00E00164"/>
    <w:rsid w:val="00E038CE"/>
    <w:rsid w:val="00E03F11"/>
    <w:rsid w:val="00E0463C"/>
    <w:rsid w:val="00E077C9"/>
    <w:rsid w:val="00E11C02"/>
    <w:rsid w:val="00E21128"/>
    <w:rsid w:val="00E21AB4"/>
    <w:rsid w:val="00E224FC"/>
    <w:rsid w:val="00E31F57"/>
    <w:rsid w:val="00E321E5"/>
    <w:rsid w:val="00E32C2E"/>
    <w:rsid w:val="00E336C5"/>
    <w:rsid w:val="00E34794"/>
    <w:rsid w:val="00E41279"/>
    <w:rsid w:val="00E502C4"/>
    <w:rsid w:val="00E5595E"/>
    <w:rsid w:val="00E55ABC"/>
    <w:rsid w:val="00E56168"/>
    <w:rsid w:val="00E57B74"/>
    <w:rsid w:val="00E57FEF"/>
    <w:rsid w:val="00E642B3"/>
    <w:rsid w:val="00E65D87"/>
    <w:rsid w:val="00E72800"/>
    <w:rsid w:val="00E7740D"/>
    <w:rsid w:val="00E8629F"/>
    <w:rsid w:val="00E8675A"/>
    <w:rsid w:val="00E90B54"/>
    <w:rsid w:val="00E96BC6"/>
    <w:rsid w:val="00E97AA9"/>
    <w:rsid w:val="00EA09B1"/>
    <w:rsid w:val="00EA0B7F"/>
    <w:rsid w:val="00EA1EF6"/>
    <w:rsid w:val="00EA3C24"/>
    <w:rsid w:val="00EA3D76"/>
    <w:rsid w:val="00EB0292"/>
    <w:rsid w:val="00EC0715"/>
    <w:rsid w:val="00EC1F66"/>
    <w:rsid w:val="00EC6A1C"/>
    <w:rsid w:val="00ED5F47"/>
    <w:rsid w:val="00ED6A07"/>
    <w:rsid w:val="00ED7922"/>
    <w:rsid w:val="00EE01EA"/>
    <w:rsid w:val="00EE066A"/>
    <w:rsid w:val="00EE2605"/>
    <w:rsid w:val="00EE3A95"/>
    <w:rsid w:val="00EE5692"/>
    <w:rsid w:val="00EE6221"/>
    <w:rsid w:val="00EE7690"/>
    <w:rsid w:val="00EE7BCE"/>
    <w:rsid w:val="00EF011F"/>
    <w:rsid w:val="00EF325F"/>
    <w:rsid w:val="00EF32A7"/>
    <w:rsid w:val="00EF5D8B"/>
    <w:rsid w:val="00EF6BCD"/>
    <w:rsid w:val="00F00146"/>
    <w:rsid w:val="00F01416"/>
    <w:rsid w:val="00F030CA"/>
    <w:rsid w:val="00F0557F"/>
    <w:rsid w:val="00F05DFF"/>
    <w:rsid w:val="00F072D8"/>
    <w:rsid w:val="00F10B79"/>
    <w:rsid w:val="00F12AC1"/>
    <w:rsid w:val="00F12D23"/>
    <w:rsid w:val="00F15074"/>
    <w:rsid w:val="00F15855"/>
    <w:rsid w:val="00F1709D"/>
    <w:rsid w:val="00F1745D"/>
    <w:rsid w:val="00F233BC"/>
    <w:rsid w:val="00F26554"/>
    <w:rsid w:val="00F30653"/>
    <w:rsid w:val="00F3413D"/>
    <w:rsid w:val="00F34385"/>
    <w:rsid w:val="00F3443E"/>
    <w:rsid w:val="00F34B41"/>
    <w:rsid w:val="00F37710"/>
    <w:rsid w:val="00F50377"/>
    <w:rsid w:val="00F541D2"/>
    <w:rsid w:val="00F57C13"/>
    <w:rsid w:val="00F60595"/>
    <w:rsid w:val="00F6114F"/>
    <w:rsid w:val="00F63B69"/>
    <w:rsid w:val="00F7184A"/>
    <w:rsid w:val="00F77EB0"/>
    <w:rsid w:val="00F81AC1"/>
    <w:rsid w:val="00F83415"/>
    <w:rsid w:val="00F86A29"/>
    <w:rsid w:val="00F91F8F"/>
    <w:rsid w:val="00FA0215"/>
    <w:rsid w:val="00FA031B"/>
    <w:rsid w:val="00FA04B9"/>
    <w:rsid w:val="00FA35B4"/>
    <w:rsid w:val="00FA6073"/>
    <w:rsid w:val="00FB2CFC"/>
    <w:rsid w:val="00FB560E"/>
    <w:rsid w:val="00FB69E7"/>
    <w:rsid w:val="00FC051F"/>
    <w:rsid w:val="00FC5F9D"/>
    <w:rsid w:val="00FC64DC"/>
    <w:rsid w:val="00FC6658"/>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B72B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customStyle="1"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5005F3"/>
    <w:pPr>
      <w:spacing w:before="100" w:beforeAutospacing="1" w:after="100" w:afterAutospacing="1"/>
    </w:pPr>
    <w:rPr>
      <w:rFonts w:eastAsiaTheme="minorEastAsia"/>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36F18175-66F6-497A-B540-1F5BE2253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BF151E-44D8-4CCE-9DC0-6575F6097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1706</Words>
  <Characters>7874</Characters>
  <Application>Microsoft Office Word</Application>
  <DocSecurity>0</DocSecurity>
  <Lines>65</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2019-09-27T11:09:00Z</dcterms:created>
  <dcterms:modified xsi:type="dcterms:W3CDTF">2019-11-08T14:24:00Z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